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10F1" w:rsidRPr="00FF0647" w:rsidRDefault="00D61C91" w:rsidP="00091D23">
      <w:pPr>
        <w:rPr>
          <w:color w:val="FF0000"/>
          <w:lang w:val="en-GB"/>
        </w:rPr>
      </w:pPr>
      <w:r w:rsidRPr="00FF0647">
        <w:rPr>
          <w:noProof/>
          <w:color w:val="FF0000"/>
          <w:lang w:val="en-GB"/>
        </w:rPr>
        <mc:AlternateContent>
          <mc:Choice Requires="wps">
            <w:drawing>
              <wp:anchor distT="0" distB="0" distL="114300" distR="114300" simplePos="0" relativeHeight="251780606" behindDoc="0" locked="0" layoutInCell="1" allowOverlap="1" wp14:anchorId="2CC8F7C9" wp14:editId="6B7A08A7">
                <wp:simplePos x="0" y="0"/>
                <wp:positionH relativeFrom="column">
                  <wp:posOffset>-884799</wp:posOffset>
                </wp:positionH>
                <wp:positionV relativeFrom="paragraph">
                  <wp:posOffset>-1244845</wp:posOffset>
                </wp:positionV>
                <wp:extent cx="7510584" cy="1067581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7510584" cy="10675815"/>
                        </a:xfrm>
                        <a:prstGeom prst="rect">
                          <a:avLst/>
                        </a:prstGeom>
                        <a:noFill/>
                        <a:ln w="6350">
                          <a:noFill/>
                        </a:ln>
                      </wps:spPr>
                      <wps:txbx>
                        <w:txbxContent>
                          <w:p w:rsidR="00251B1A" w:rsidRDefault="00251B1A" w:rsidP="00D61C91">
                            <w:pPr>
                              <w:jc w:val="center"/>
                            </w:pPr>
                            <w:r>
                              <w:rPr>
                                <w:noProof/>
                              </w:rPr>
                              <w:drawing>
                                <wp:inline distT="0" distB="0" distL="0" distR="0" wp14:anchorId="332A30BC" wp14:editId="3328C7E8">
                                  <wp:extent cx="7532012" cy="1065415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a:stretch>
                                            <a:fillRect/>
                                          </a:stretch>
                                        </pic:blipFill>
                                        <pic:spPr>
                                          <a:xfrm>
                                            <a:off x="0" y="0"/>
                                            <a:ext cx="7532012" cy="10654152"/>
                                          </a:xfrm>
                                          <a:prstGeom prst="rect">
                                            <a:avLst/>
                                          </a:prstGeom>
                                        </pic:spPr>
                                      </pic:pic>
                                    </a:graphicData>
                                  </a:graphic>
                                </wp:inline>
                              </w:drawing>
                            </w:r>
                          </w:p>
                        </w:txbxContent>
                      </wps:txbx>
                      <wps:bodyPr rot="0" spcFirstLastPara="0" vertOverflow="overflow" horzOverflow="overflow" vert="horz" wrap="square" lIns="54000" tIns="4680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8F7C9" id="_x0000_t202" coordsize="21600,21600" o:spt="202" path="m,l,21600r21600,l21600,xe">
                <v:stroke joinstyle="miter"/>
                <v:path gradientshapeok="t" o:connecttype="rect"/>
              </v:shapetype>
              <v:shape id="Text Box 77" o:spid="_x0000_s1026" type="#_x0000_t202" style="position:absolute;margin-left:-69.65pt;margin-top:-98pt;width:591.4pt;height:840.6pt;z-index:251780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" filled="f" stroked="f" strokeweight=".5pt">
                <v:textbox inset="1.5mm,1.3mm,1.5mm">
                  <w:txbxContent>
                    <w:p w:rsidR="00251B1A" w:rsidRDefault="00251B1A" w:rsidP="00D61C91">
                      <w:pPr>
                        <w:jc w:val="center"/>
                      </w:pPr>
                      <w:r>
                        <w:rPr>
                          <w:noProof/>
                        </w:rPr>
                        <w:drawing>
                          <wp:inline distT="0" distB="0" distL="0" distR="0" wp14:anchorId="332A30BC" wp14:editId="3328C7E8">
                            <wp:extent cx="7532012" cy="1065415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a:stretch>
                                      <a:fillRect/>
                                    </a:stretch>
                                  </pic:blipFill>
                                  <pic:spPr>
                                    <a:xfrm>
                                      <a:off x="0" y="0"/>
                                      <a:ext cx="7532012" cy="10654152"/>
                                    </a:xfrm>
                                    <a:prstGeom prst="rect">
                                      <a:avLst/>
                                    </a:prstGeom>
                                  </pic:spPr>
                                </pic:pic>
                              </a:graphicData>
                            </a:graphic>
                          </wp:inline>
                        </w:drawing>
                      </w:r>
                    </w:p>
                  </w:txbxContent>
                </v:textbox>
              </v:shape>
            </w:pict>
          </mc:Fallback>
        </mc:AlternateContent>
      </w:r>
    </w:p>
    <w:p w:rsidR="007839DD" w:rsidRPr="00FF0647" w:rsidRDefault="007839DD" w:rsidP="007839DD">
      <w:pPr>
        <w:spacing w:line="240" w:lineRule="auto"/>
        <w:jc w:val="center"/>
        <w:rPr>
          <w:color w:val="FF0000"/>
          <w:sz w:val="56"/>
          <w:szCs w:val="56"/>
          <w:lang w:val="en-GB"/>
        </w:rPr>
      </w:pPr>
    </w:p>
    <w:p w:rsidR="007D61F2" w:rsidRPr="00FF0647" w:rsidRDefault="007D61F2" w:rsidP="007839DD">
      <w:pPr>
        <w:spacing w:line="240" w:lineRule="auto"/>
        <w:jc w:val="center"/>
        <w:rPr>
          <w:color w:val="FF0000"/>
          <w:sz w:val="72"/>
          <w:szCs w:val="72"/>
          <w:lang w:val="en-GB"/>
        </w:rPr>
      </w:pPr>
    </w:p>
    <w:p w:rsidR="007D61F2" w:rsidRPr="00FF0647" w:rsidRDefault="007D61F2" w:rsidP="007839DD">
      <w:pPr>
        <w:spacing w:line="240" w:lineRule="auto"/>
        <w:jc w:val="center"/>
        <w:rPr>
          <w:color w:val="FF0000"/>
          <w:sz w:val="72"/>
          <w:szCs w:val="72"/>
          <w:lang w:val="en-GB"/>
        </w:rPr>
      </w:pPr>
    </w:p>
    <w:p w:rsidR="00123227" w:rsidRPr="00FF0647" w:rsidRDefault="00123227" w:rsidP="00C10D1D">
      <w:pPr>
        <w:spacing w:line="240" w:lineRule="auto"/>
        <w:jc w:val="center"/>
        <w:rPr>
          <w:color w:val="FF0000"/>
          <w:sz w:val="72"/>
          <w:szCs w:val="72"/>
          <w:lang w:val="en-GB"/>
        </w:rPr>
      </w:pPr>
    </w:p>
    <w:p w:rsidR="00123227" w:rsidRPr="00FF0647" w:rsidRDefault="00123227" w:rsidP="00C10D1D">
      <w:pPr>
        <w:spacing w:line="240" w:lineRule="auto"/>
        <w:jc w:val="center"/>
        <w:rPr>
          <w:color w:val="FF0000"/>
          <w:sz w:val="72"/>
          <w:szCs w:val="72"/>
          <w:lang w:val="en-GB"/>
        </w:rPr>
      </w:pPr>
    </w:p>
    <w:p w:rsidR="00123227" w:rsidRPr="00FF0647" w:rsidRDefault="00123227" w:rsidP="00C10D1D">
      <w:pPr>
        <w:spacing w:line="240" w:lineRule="auto"/>
        <w:jc w:val="center"/>
        <w:rPr>
          <w:color w:val="FF0000"/>
          <w:sz w:val="72"/>
          <w:szCs w:val="72"/>
          <w:lang w:val="en-GB"/>
        </w:rPr>
      </w:pPr>
    </w:p>
    <w:p w:rsidR="00EA74D1" w:rsidRPr="00FF0647" w:rsidRDefault="00EA74D1" w:rsidP="00F06711">
      <w:pPr>
        <w:jc w:val="center"/>
        <w:rPr>
          <w:color w:val="FF0000"/>
          <w:sz w:val="32"/>
          <w:szCs w:val="32"/>
          <w:lang w:val="en-GB"/>
        </w:rPr>
      </w:pPr>
    </w:p>
    <w:p w:rsidR="007458DC" w:rsidRPr="00FF0647" w:rsidRDefault="007458DC" w:rsidP="00D14ABE">
      <w:pPr>
        <w:rPr>
          <w:color w:val="FF0000"/>
          <w:lang w:val="en-GB"/>
        </w:rPr>
      </w:pPr>
      <w:r w:rsidRPr="00FF0647">
        <w:rPr>
          <w:color w:val="FF0000"/>
          <w:lang w:val="en-GB"/>
        </w:rPr>
        <w:br w:type="page"/>
      </w:r>
    </w:p>
    <w:p w:rsidR="00B71B1D" w:rsidRPr="00FF0647" w:rsidRDefault="000D3F6B">
      <w:pPr>
        <w:spacing w:after="200"/>
        <w:rPr>
          <w:color w:val="262626" w:themeColor="text1" w:themeTint="D9"/>
          <w:sz w:val="32"/>
          <w:szCs w:val="32"/>
          <w:lang w:val="en-GB"/>
        </w:rPr>
      </w:pPr>
      <w:r w:rsidRPr="00FF0647">
        <w:rPr>
          <w:color w:val="262626" w:themeColor="text1" w:themeTint="D9"/>
          <w:sz w:val="32"/>
          <w:szCs w:val="32"/>
          <w:lang w:val="en-GB"/>
        </w:rPr>
        <w:lastRenderedPageBreak/>
        <w:t>Contents</w:t>
      </w:r>
    </w:p>
    <w:sdt>
      <w:sdtPr>
        <w:rPr>
          <w:rFonts w:eastAsiaTheme="minorHAnsi" w:cstheme="minorBidi"/>
          <w:b w:val="0"/>
          <w:bCs/>
          <w:caps/>
          <w:noProof w:val="0"/>
          <w:color w:val="000000" w:themeColor="text1"/>
          <w:sz w:val="21"/>
          <w:szCs w:val="22"/>
          <w:lang w:val="en-GB"/>
        </w:rPr>
        <w:id w:val="4883097"/>
        <w:docPartObj>
          <w:docPartGallery w:val="Table of Contents"/>
          <w:docPartUnique/>
        </w:docPartObj>
      </w:sdtPr>
      <w:sdtEndPr>
        <w:rPr>
          <w:bCs w:val="0"/>
          <w:caps w:val="0"/>
          <w:color w:val="auto"/>
        </w:rPr>
      </w:sdtEndPr>
      <w:sdtContent>
        <w:p w:rsidR="004B4075" w:rsidRDefault="0023345F">
          <w:pPr>
            <w:pStyle w:val="TOC1"/>
            <w:rPr>
              <w:rFonts w:eastAsiaTheme="minorEastAsia" w:cstheme="minorBidi"/>
              <w:b w:val="0"/>
              <w:sz w:val="24"/>
              <w:szCs w:val="24"/>
              <w:lang w:val="en-AU" w:eastAsia="en-GB"/>
            </w:rPr>
          </w:pPr>
          <w:r w:rsidRPr="00FF0647">
            <w:rPr>
              <w:noProof w:val="0"/>
              <w:color w:val="000000" w:themeColor="text1"/>
              <w:sz w:val="24"/>
              <w:lang w:val="en-GB"/>
            </w:rPr>
            <w:fldChar w:fldCharType="begin"/>
          </w:r>
          <w:r w:rsidR="00396019" w:rsidRPr="00FF0647">
            <w:rPr>
              <w:noProof w:val="0"/>
              <w:color w:val="000000" w:themeColor="text1"/>
              <w:lang w:val="en-GB"/>
            </w:rPr>
            <w:instrText xml:space="preserve"> TOC \o "1-3" \h \z \u </w:instrText>
          </w:r>
          <w:r w:rsidRPr="00FF0647">
            <w:rPr>
              <w:noProof w:val="0"/>
              <w:color w:val="000000" w:themeColor="text1"/>
              <w:sz w:val="24"/>
              <w:lang w:val="en-GB"/>
            </w:rPr>
            <w:fldChar w:fldCharType="separate"/>
          </w:r>
          <w:hyperlink w:anchor="_Toc52955427" w:history="1">
            <w:r w:rsidR="004B4075" w:rsidRPr="004859F4">
              <w:rPr>
                <w:rStyle w:val="Hyperlink"/>
                <w:bCs/>
                <w:lang w:val="en-GB"/>
              </w:rPr>
              <w:t>Road to Recovery?</w:t>
            </w:r>
            <w:r w:rsidR="004B4075">
              <w:rPr>
                <w:webHidden/>
              </w:rPr>
              <w:tab/>
            </w:r>
            <w:r w:rsidR="004B4075">
              <w:rPr>
                <w:webHidden/>
              </w:rPr>
              <w:fldChar w:fldCharType="begin"/>
            </w:r>
            <w:r w:rsidR="004B4075">
              <w:rPr>
                <w:webHidden/>
              </w:rPr>
              <w:instrText xml:space="preserve"> PAGEREF _Toc52955427 \h </w:instrText>
            </w:r>
            <w:r w:rsidR="004B4075">
              <w:rPr>
                <w:webHidden/>
              </w:rPr>
            </w:r>
            <w:r w:rsidR="004B4075">
              <w:rPr>
                <w:webHidden/>
              </w:rPr>
              <w:fldChar w:fldCharType="separate"/>
            </w:r>
            <w:r w:rsidR="004B4075">
              <w:rPr>
                <w:webHidden/>
              </w:rPr>
              <w:t>4</w:t>
            </w:r>
            <w:r w:rsidR="004B4075">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28" w:history="1">
            <w:r w:rsidRPr="004859F4">
              <w:rPr>
                <w:rStyle w:val="Hyperlink"/>
                <w:lang w:val="en-GB"/>
              </w:rPr>
              <w:t>For You</w:t>
            </w:r>
            <w:r>
              <w:rPr>
                <w:webHidden/>
              </w:rPr>
              <w:tab/>
            </w:r>
            <w:r>
              <w:rPr>
                <w:webHidden/>
              </w:rPr>
              <w:fldChar w:fldCharType="begin"/>
            </w:r>
            <w:r>
              <w:rPr>
                <w:webHidden/>
              </w:rPr>
              <w:instrText xml:space="preserve"> PAGEREF _Toc52955428 \h </w:instrText>
            </w:r>
            <w:r>
              <w:rPr>
                <w:webHidden/>
              </w:rPr>
            </w:r>
            <w:r>
              <w:rPr>
                <w:webHidden/>
              </w:rPr>
              <w:fldChar w:fldCharType="separate"/>
            </w:r>
            <w:r>
              <w:rPr>
                <w:webHidden/>
              </w:rPr>
              <w:t>5</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29" w:history="1">
            <w:r w:rsidRPr="004859F4">
              <w:rPr>
                <w:rStyle w:val="Hyperlink"/>
              </w:rPr>
              <w:t>Personal income tax cuts</w:t>
            </w:r>
            <w:r>
              <w:rPr>
                <w:webHidden/>
              </w:rPr>
              <w:tab/>
            </w:r>
            <w:r>
              <w:rPr>
                <w:webHidden/>
              </w:rPr>
              <w:fldChar w:fldCharType="begin"/>
            </w:r>
            <w:r>
              <w:rPr>
                <w:webHidden/>
              </w:rPr>
              <w:instrText xml:space="preserve"> PAGEREF _Toc52955429 \h </w:instrText>
            </w:r>
            <w:r>
              <w:rPr>
                <w:webHidden/>
              </w:rPr>
            </w:r>
            <w:r>
              <w:rPr>
                <w:webHidden/>
              </w:rPr>
              <w:fldChar w:fldCharType="separate"/>
            </w:r>
            <w:r>
              <w:rPr>
                <w:webHidden/>
              </w:rPr>
              <w:t>5</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0" w:history="1">
            <w:r w:rsidRPr="004859F4">
              <w:rPr>
                <w:rStyle w:val="Hyperlink"/>
                <w:lang w:val="en-GB"/>
              </w:rPr>
              <w:t>$250 economic support payments</w:t>
            </w:r>
            <w:r>
              <w:rPr>
                <w:webHidden/>
              </w:rPr>
              <w:tab/>
            </w:r>
            <w:r>
              <w:rPr>
                <w:webHidden/>
              </w:rPr>
              <w:fldChar w:fldCharType="begin"/>
            </w:r>
            <w:r>
              <w:rPr>
                <w:webHidden/>
              </w:rPr>
              <w:instrText xml:space="preserve"> PAGEREF _Toc52955430 \h </w:instrText>
            </w:r>
            <w:r>
              <w:rPr>
                <w:webHidden/>
              </w:rPr>
            </w:r>
            <w:r>
              <w:rPr>
                <w:webHidden/>
              </w:rPr>
              <w:fldChar w:fldCharType="separate"/>
            </w:r>
            <w:r>
              <w:rPr>
                <w:webHidden/>
              </w:rPr>
              <w:t>6</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1" w:history="1">
            <w:r w:rsidRPr="004859F4">
              <w:rPr>
                <w:rStyle w:val="Hyperlink"/>
                <w:lang w:val="en-GB"/>
              </w:rPr>
              <w:t>Capital gains tax removed from ‘</w:t>
            </w:r>
            <w:r w:rsidRPr="004859F4">
              <w:rPr>
                <w:rStyle w:val="Hyperlink"/>
              </w:rPr>
              <w:t>granny</w:t>
            </w:r>
            <w:r w:rsidRPr="004859F4">
              <w:rPr>
                <w:rStyle w:val="Hyperlink"/>
                <w:lang w:val="en-GB"/>
              </w:rPr>
              <w:t xml:space="preserve"> flats’</w:t>
            </w:r>
            <w:r>
              <w:rPr>
                <w:webHidden/>
              </w:rPr>
              <w:tab/>
            </w:r>
            <w:r>
              <w:rPr>
                <w:webHidden/>
              </w:rPr>
              <w:fldChar w:fldCharType="begin"/>
            </w:r>
            <w:r>
              <w:rPr>
                <w:webHidden/>
              </w:rPr>
              <w:instrText xml:space="preserve"> PAGEREF _Toc52955431 \h </w:instrText>
            </w:r>
            <w:r>
              <w:rPr>
                <w:webHidden/>
              </w:rPr>
            </w:r>
            <w:r>
              <w:rPr>
                <w:webHidden/>
              </w:rPr>
              <w:fldChar w:fldCharType="separate"/>
            </w:r>
            <w:r>
              <w:rPr>
                <w:webHidden/>
              </w:rPr>
              <w:t>6</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2" w:history="1">
            <w:r w:rsidRPr="004859F4">
              <w:rPr>
                <w:rStyle w:val="Hyperlink"/>
                <w:lang w:val="en-GB"/>
              </w:rPr>
              <w:t>10,000 additional places in First Home Loan Deposit Scheme</w:t>
            </w:r>
            <w:r>
              <w:rPr>
                <w:webHidden/>
              </w:rPr>
              <w:tab/>
            </w:r>
            <w:r>
              <w:rPr>
                <w:webHidden/>
              </w:rPr>
              <w:fldChar w:fldCharType="begin"/>
            </w:r>
            <w:r>
              <w:rPr>
                <w:webHidden/>
              </w:rPr>
              <w:instrText xml:space="preserve"> PAGEREF _Toc52955432 \h </w:instrText>
            </w:r>
            <w:r>
              <w:rPr>
                <w:webHidden/>
              </w:rPr>
            </w:r>
            <w:r>
              <w:rPr>
                <w:webHidden/>
              </w:rPr>
              <w:fldChar w:fldCharType="separate"/>
            </w:r>
            <w:r>
              <w:rPr>
                <w:webHidden/>
              </w:rPr>
              <w:t>7</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3" w:history="1">
            <w:r w:rsidRPr="004859F4">
              <w:rPr>
                <w:rStyle w:val="Hyperlink"/>
              </w:rPr>
              <w:t>Aged care support</w:t>
            </w:r>
            <w:r>
              <w:rPr>
                <w:webHidden/>
              </w:rPr>
              <w:tab/>
            </w:r>
            <w:r>
              <w:rPr>
                <w:webHidden/>
              </w:rPr>
              <w:fldChar w:fldCharType="begin"/>
            </w:r>
            <w:r>
              <w:rPr>
                <w:webHidden/>
              </w:rPr>
              <w:instrText xml:space="preserve"> PAGEREF _Toc52955433 \h </w:instrText>
            </w:r>
            <w:r>
              <w:rPr>
                <w:webHidden/>
              </w:rPr>
            </w:r>
            <w:r>
              <w:rPr>
                <w:webHidden/>
              </w:rPr>
              <w:fldChar w:fldCharType="separate"/>
            </w:r>
            <w:r>
              <w:rPr>
                <w:webHidden/>
              </w:rPr>
              <w:t>7</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34" w:history="1">
            <w:r w:rsidRPr="004859F4">
              <w:rPr>
                <w:rStyle w:val="Hyperlink"/>
              </w:rPr>
              <w:t>$1.6bn to help elderly stay at home</w:t>
            </w:r>
            <w:r>
              <w:rPr>
                <w:webHidden/>
              </w:rPr>
              <w:tab/>
            </w:r>
            <w:r>
              <w:rPr>
                <w:webHidden/>
              </w:rPr>
              <w:fldChar w:fldCharType="begin"/>
            </w:r>
            <w:r>
              <w:rPr>
                <w:webHidden/>
              </w:rPr>
              <w:instrText xml:space="preserve"> PAGEREF _Toc52955434 \h </w:instrText>
            </w:r>
            <w:r>
              <w:rPr>
                <w:webHidden/>
              </w:rPr>
            </w:r>
            <w:r>
              <w:rPr>
                <w:webHidden/>
              </w:rPr>
              <w:fldChar w:fldCharType="separate"/>
            </w:r>
            <w:r>
              <w:rPr>
                <w:webHidden/>
              </w:rPr>
              <w:t>7</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35" w:history="1">
            <w:r w:rsidRPr="004859F4">
              <w:rPr>
                <w:rStyle w:val="Hyperlink"/>
              </w:rPr>
              <w:t>Aged care industry monitoring and support</w:t>
            </w:r>
            <w:r>
              <w:rPr>
                <w:webHidden/>
              </w:rPr>
              <w:tab/>
            </w:r>
            <w:r>
              <w:rPr>
                <w:webHidden/>
              </w:rPr>
              <w:fldChar w:fldCharType="begin"/>
            </w:r>
            <w:r>
              <w:rPr>
                <w:webHidden/>
              </w:rPr>
              <w:instrText xml:space="preserve"> PAGEREF _Toc52955435 \h </w:instrText>
            </w:r>
            <w:r>
              <w:rPr>
                <w:webHidden/>
              </w:rPr>
            </w:r>
            <w:r>
              <w:rPr>
                <w:webHidden/>
              </w:rPr>
              <w:fldChar w:fldCharType="separate"/>
            </w:r>
            <w:r>
              <w:rPr>
                <w:webHidden/>
              </w:rPr>
              <w:t>7</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36" w:history="1">
            <w:r w:rsidRPr="004859F4">
              <w:rPr>
                <w:rStyle w:val="Hyperlink"/>
                <w:lang w:val="en-GB"/>
              </w:rPr>
              <w:t>Your Superannuation</w:t>
            </w:r>
            <w:r>
              <w:rPr>
                <w:webHidden/>
              </w:rPr>
              <w:tab/>
            </w:r>
            <w:r>
              <w:rPr>
                <w:webHidden/>
              </w:rPr>
              <w:fldChar w:fldCharType="begin"/>
            </w:r>
            <w:r>
              <w:rPr>
                <w:webHidden/>
              </w:rPr>
              <w:instrText xml:space="preserve"> PAGEREF _Toc52955436 \h </w:instrText>
            </w:r>
            <w:r>
              <w:rPr>
                <w:webHidden/>
              </w:rPr>
            </w:r>
            <w:r>
              <w:rPr>
                <w:webHidden/>
              </w:rPr>
              <w:fldChar w:fldCharType="separate"/>
            </w:r>
            <w:r>
              <w:rPr>
                <w:webHidden/>
              </w:rPr>
              <w:t>8</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7" w:history="1">
            <w:r w:rsidRPr="004859F4">
              <w:rPr>
                <w:rStyle w:val="Hyperlink"/>
                <w:lang w:val="en-GB"/>
              </w:rPr>
              <w:t>Superannuation accounts ‘stapled’ to an individual</w:t>
            </w:r>
            <w:r>
              <w:rPr>
                <w:webHidden/>
              </w:rPr>
              <w:tab/>
            </w:r>
            <w:r>
              <w:rPr>
                <w:webHidden/>
              </w:rPr>
              <w:fldChar w:fldCharType="begin"/>
            </w:r>
            <w:r>
              <w:rPr>
                <w:webHidden/>
              </w:rPr>
              <w:instrText xml:space="preserve"> PAGEREF _Toc52955437 \h </w:instrText>
            </w:r>
            <w:r>
              <w:rPr>
                <w:webHidden/>
              </w:rPr>
            </w:r>
            <w:r>
              <w:rPr>
                <w:webHidden/>
              </w:rPr>
              <w:fldChar w:fldCharType="separate"/>
            </w:r>
            <w:r>
              <w:rPr>
                <w:webHidden/>
              </w:rPr>
              <w:t>8</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8" w:history="1">
            <w:r w:rsidRPr="004859F4">
              <w:rPr>
                <w:rStyle w:val="Hyperlink"/>
                <w:lang w:val="en-GB"/>
              </w:rPr>
              <w:t>Accountability of underperforming funds</w:t>
            </w:r>
            <w:r>
              <w:rPr>
                <w:webHidden/>
              </w:rPr>
              <w:tab/>
            </w:r>
            <w:r>
              <w:rPr>
                <w:webHidden/>
              </w:rPr>
              <w:fldChar w:fldCharType="begin"/>
            </w:r>
            <w:r>
              <w:rPr>
                <w:webHidden/>
              </w:rPr>
              <w:instrText xml:space="preserve"> PAGEREF _Toc52955438 \h </w:instrText>
            </w:r>
            <w:r>
              <w:rPr>
                <w:webHidden/>
              </w:rPr>
            </w:r>
            <w:r>
              <w:rPr>
                <w:webHidden/>
              </w:rPr>
              <w:fldChar w:fldCharType="separate"/>
            </w:r>
            <w:r>
              <w:rPr>
                <w:webHidden/>
              </w:rPr>
              <w:t>8</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39" w:history="1">
            <w:r w:rsidRPr="004859F4">
              <w:rPr>
                <w:rStyle w:val="Hyperlink"/>
                <w:lang w:val="en-GB"/>
              </w:rPr>
              <w:t>Performance transparency</w:t>
            </w:r>
            <w:r>
              <w:rPr>
                <w:webHidden/>
              </w:rPr>
              <w:tab/>
            </w:r>
            <w:r>
              <w:rPr>
                <w:webHidden/>
              </w:rPr>
              <w:fldChar w:fldCharType="begin"/>
            </w:r>
            <w:r>
              <w:rPr>
                <w:webHidden/>
              </w:rPr>
              <w:instrText xml:space="preserve"> PAGEREF _Toc52955439 \h </w:instrText>
            </w:r>
            <w:r>
              <w:rPr>
                <w:webHidden/>
              </w:rPr>
            </w:r>
            <w:r>
              <w:rPr>
                <w:webHidden/>
              </w:rPr>
              <w:fldChar w:fldCharType="separate"/>
            </w:r>
            <w:r>
              <w:rPr>
                <w:webHidden/>
              </w:rPr>
              <w:t>9</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40" w:history="1">
            <w:r w:rsidRPr="004859F4">
              <w:rPr>
                <w:rStyle w:val="Hyperlink"/>
                <w:lang w:val="en-GB"/>
              </w:rPr>
              <w:t>Trustee accountability</w:t>
            </w:r>
            <w:r>
              <w:rPr>
                <w:webHidden/>
              </w:rPr>
              <w:tab/>
            </w:r>
            <w:r>
              <w:rPr>
                <w:webHidden/>
              </w:rPr>
              <w:fldChar w:fldCharType="begin"/>
            </w:r>
            <w:r>
              <w:rPr>
                <w:webHidden/>
              </w:rPr>
              <w:instrText xml:space="preserve"> PAGEREF _Toc52955440 \h </w:instrText>
            </w:r>
            <w:r>
              <w:rPr>
                <w:webHidden/>
              </w:rPr>
            </w:r>
            <w:r>
              <w:rPr>
                <w:webHidden/>
              </w:rPr>
              <w:fldChar w:fldCharType="separate"/>
            </w:r>
            <w:r>
              <w:rPr>
                <w:webHidden/>
              </w:rPr>
              <w:t>9</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41" w:history="1">
            <w:r w:rsidRPr="004859F4">
              <w:rPr>
                <w:rStyle w:val="Hyperlink"/>
                <w:lang w:val="en-GB"/>
              </w:rPr>
              <w:t>Business &amp; Employers</w:t>
            </w:r>
            <w:r>
              <w:rPr>
                <w:webHidden/>
              </w:rPr>
              <w:tab/>
            </w:r>
            <w:r>
              <w:rPr>
                <w:webHidden/>
              </w:rPr>
              <w:fldChar w:fldCharType="begin"/>
            </w:r>
            <w:r>
              <w:rPr>
                <w:webHidden/>
              </w:rPr>
              <w:instrText xml:space="preserve"> PAGEREF _Toc52955441 \h </w:instrText>
            </w:r>
            <w:r>
              <w:rPr>
                <w:webHidden/>
              </w:rPr>
            </w:r>
            <w:r>
              <w:rPr>
                <w:webHidden/>
              </w:rPr>
              <w:fldChar w:fldCharType="separate"/>
            </w:r>
            <w:r>
              <w:rPr>
                <w:webHidden/>
              </w:rPr>
              <w:t>10</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42" w:history="1">
            <w:r w:rsidRPr="004859F4">
              <w:rPr>
                <w:rStyle w:val="Hyperlink"/>
                <w:lang w:val="en-GB"/>
              </w:rPr>
              <w:t>JobMaker Hiring Credit</w:t>
            </w:r>
            <w:r>
              <w:rPr>
                <w:webHidden/>
              </w:rPr>
              <w:tab/>
            </w:r>
            <w:r>
              <w:rPr>
                <w:webHidden/>
              </w:rPr>
              <w:fldChar w:fldCharType="begin"/>
            </w:r>
            <w:r>
              <w:rPr>
                <w:webHidden/>
              </w:rPr>
              <w:instrText xml:space="preserve"> PAGEREF _Toc52955442 \h </w:instrText>
            </w:r>
            <w:r>
              <w:rPr>
                <w:webHidden/>
              </w:rPr>
            </w:r>
            <w:r>
              <w:rPr>
                <w:webHidden/>
              </w:rPr>
              <w:fldChar w:fldCharType="separate"/>
            </w:r>
            <w:r>
              <w:rPr>
                <w:webHidden/>
              </w:rPr>
              <w:t>10</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43" w:history="1">
            <w:r w:rsidRPr="004859F4">
              <w:rPr>
                <w:rStyle w:val="Hyperlink"/>
                <w:lang w:val="en-GB"/>
              </w:rPr>
              <w:t xml:space="preserve">Immediate </w:t>
            </w:r>
            <w:r w:rsidRPr="004859F4">
              <w:rPr>
                <w:rStyle w:val="Hyperlink"/>
              </w:rPr>
              <w:t>deductions</w:t>
            </w:r>
            <w:r w:rsidRPr="004859F4">
              <w:rPr>
                <w:rStyle w:val="Hyperlink"/>
                <w:lang w:val="en-GB"/>
              </w:rPr>
              <w:t xml:space="preserve"> for investment in capital assets</w:t>
            </w:r>
            <w:r>
              <w:rPr>
                <w:webHidden/>
              </w:rPr>
              <w:tab/>
            </w:r>
            <w:r>
              <w:rPr>
                <w:webHidden/>
              </w:rPr>
              <w:fldChar w:fldCharType="begin"/>
            </w:r>
            <w:r>
              <w:rPr>
                <w:webHidden/>
              </w:rPr>
              <w:instrText xml:space="preserve"> PAGEREF _Toc52955443 \h </w:instrText>
            </w:r>
            <w:r>
              <w:rPr>
                <w:webHidden/>
              </w:rPr>
            </w:r>
            <w:r>
              <w:rPr>
                <w:webHidden/>
              </w:rPr>
              <w:fldChar w:fldCharType="separate"/>
            </w:r>
            <w:r>
              <w:rPr>
                <w:webHidden/>
              </w:rPr>
              <w:t>10</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44" w:history="1">
            <w:r w:rsidRPr="004859F4">
              <w:rPr>
                <w:rStyle w:val="Hyperlink"/>
                <w:lang w:val="en-GB"/>
              </w:rPr>
              <w:t>Second-hand assets</w:t>
            </w:r>
            <w:r>
              <w:rPr>
                <w:webHidden/>
              </w:rPr>
              <w:tab/>
            </w:r>
            <w:r>
              <w:rPr>
                <w:webHidden/>
              </w:rPr>
              <w:fldChar w:fldCharType="begin"/>
            </w:r>
            <w:r>
              <w:rPr>
                <w:webHidden/>
              </w:rPr>
              <w:instrText xml:space="preserve"> PAGEREF _Toc52955444 \h </w:instrText>
            </w:r>
            <w:r>
              <w:rPr>
                <w:webHidden/>
              </w:rPr>
            </w:r>
            <w:r>
              <w:rPr>
                <w:webHidden/>
              </w:rPr>
              <w:fldChar w:fldCharType="separate"/>
            </w:r>
            <w:r>
              <w:rPr>
                <w:webHidden/>
              </w:rPr>
              <w:t>10</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45" w:history="1">
            <w:r w:rsidRPr="004859F4">
              <w:rPr>
                <w:rStyle w:val="Hyperlink"/>
                <w:lang w:val="en-GB"/>
              </w:rPr>
              <w:t>Small business pooling</w:t>
            </w:r>
            <w:r>
              <w:rPr>
                <w:webHidden/>
              </w:rPr>
              <w:tab/>
            </w:r>
            <w:r>
              <w:rPr>
                <w:webHidden/>
              </w:rPr>
              <w:fldChar w:fldCharType="begin"/>
            </w:r>
            <w:r>
              <w:rPr>
                <w:webHidden/>
              </w:rPr>
              <w:instrText xml:space="preserve"> PAGEREF _Toc52955445 \h </w:instrText>
            </w:r>
            <w:r>
              <w:rPr>
                <w:webHidden/>
              </w:rPr>
            </w:r>
            <w:r>
              <w:rPr>
                <w:webHidden/>
              </w:rPr>
              <w:fldChar w:fldCharType="separate"/>
            </w:r>
            <w:r>
              <w:rPr>
                <w:webHidden/>
              </w:rPr>
              <w:t>11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46" w:history="1">
            <w:r w:rsidRPr="004859F4">
              <w:rPr>
                <w:rStyle w:val="Hyperlink"/>
                <w:lang w:val="en-GB"/>
              </w:rPr>
              <w:t xml:space="preserve">Ability for companies to </w:t>
            </w:r>
            <w:r w:rsidRPr="004859F4">
              <w:rPr>
                <w:rStyle w:val="Hyperlink"/>
              </w:rPr>
              <w:t>carry</w:t>
            </w:r>
            <w:r w:rsidRPr="004859F4">
              <w:rPr>
                <w:rStyle w:val="Hyperlink"/>
                <w:lang w:val="en-GB"/>
              </w:rPr>
              <w:t>-back losses</w:t>
            </w:r>
            <w:r>
              <w:rPr>
                <w:webHidden/>
              </w:rPr>
              <w:tab/>
            </w:r>
            <w:r>
              <w:rPr>
                <w:webHidden/>
              </w:rPr>
              <w:fldChar w:fldCharType="begin"/>
            </w:r>
            <w:r>
              <w:rPr>
                <w:webHidden/>
              </w:rPr>
              <w:instrText xml:space="preserve"> PAGEREF _Toc52955446 \h </w:instrText>
            </w:r>
            <w:r>
              <w:rPr>
                <w:webHidden/>
              </w:rPr>
            </w:r>
            <w:r>
              <w:rPr>
                <w:webHidden/>
              </w:rPr>
              <w:fldChar w:fldCharType="separate"/>
            </w:r>
            <w:r>
              <w:rPr>
                <w:webHidden/>
              </w:rPr>
              <w:t>11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47" w:history="1">
            <w:r w:rsidRPr="004859F4">
              <w:rPr>
                <w:rStyle w:val="Hyperlink"/>
                <w:lang w:val="en-GB"/>
              </w:rPr>
              <w:t xml:space="preserve">R&amp;D tax concessions injection </w:t>
            </w:r>
            <w:r w:rsidRPr="004859F4">
              <w:rPr>
                <w:rStyle w:val="Hyperlink"/>
              </w:rPr>
              <w:t>and</w:t>
            </w:r>
            <w:r w:rsidRPr="004859F4">
              <w:rPr>
                <w:rStyle w:val="Hyperlink"/>
                <w:lang w:val="en-GB"/>
              </w:rPr>
              <w:t xml:space="preserve"> simplification</w:t>
            </w:r>
            <w:r>
              <w:rPr>
                <w:webHidden/>
              </w:rPr>
              <w:tab/>
            </w:r>
            <w:r>
              <w:rPr>
                <w:webHidden/>
              </w:rPr>
              <w:fldChar w:fldCharType="begin"/>
            </w:r>
            <w:r>
              <w:rPr>
                <w:webHidden/>
              </w:rPr>
              <w:instrText xml:space="preserve"> PAGEREF _Toc52955447 \h </w:instrText>
            </w:r>
            <w:r>
              <w:rPr>
                <w:webHidden/>
              </w:rPr>
            </w:r>
            <w:r>
              <w:rPr>
                <w:webHidden/>
              </w:rPr>
              <w:fldChar w:fldCharType="separate"/>
            </w:r>
            <w:r>
              <w:rPr>
                <w:webHidden/>
              </w:rPr>
              <w:t>12</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48" w:history="1">
            <w:r w:rsidRPr="004859F4">
              <w:rPr>
                <w:rStyle w:val="Hyperlink"/>
                <w:lang w:val="en-GB"/>
              </w:rPr>
              <w:t>Companies under $20m turnover</w:t>
            </w:r>
            <w:r>
              <w:rPr>
                <w:webHidden/>
              </w:rPr>
              <w:tab/>
            </w:r>
            <w:r>
              <w:rPr>
                <w:webHidden/>
              </w:rPr>
              <w:fldChar w:fldCharType="begin"/>
            </w:r>
            <w:r>
              <w:rPr>
                <w:webHidden/>
              </w:rPr>
              <w:instrText xml:space="preserve"> PAGEREF _Toc52955448 \h </w:instrText>
            </w:r>
            <w:r>
              <w:rPr>
                <w:webHidden/>
              </w:rPr>
            </w:r>
            <w:r>
              <w:rPr>
                <w:webHidden/>
              </w:rPr>
              <w:fldChar w:fldCharType="separate"/>
            </w:r>
            <w:r>
              <w:rPr>
                <w:webHidden/>
              </w:rPr>
              <w:t>12</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49" w:history="1">
            <w:r w:rsidRPr="004859F4">
              <w:rPr>
                <w:rStyle w:val="Hyperlink"/>
                <w:lang w:val="en-GB"/>
              </w:rPr>
              <w:t>Companies over $20m turnover</w:t>
            </w:r>
            <w:r>
              <w:rPr>
                <w:webHidden/>
              </w:rPr>
              <w:tab/>
            </w:r>
            <w:r>
              <w:rPr>
                <w:webHidden/>
              </w:rPr>
              <w:fldChar w:fldCharType="begin"/>
            </w:r>
            <w:r>
              <w:rPr>
                <w:webHidden/>
              </w:rPr>
              <w:instrText xml:space="preserve"> PAGEREF _Toc52955449 \h </w:instrText>
            </w:r>
            <w:r>
              <w:rPr>
                <w:webHidden/>
              </w:rPr>
            </w:r>
            <w:r>
              <w:rPr>
                <w:webHidden/>
              </w:rPr>
              <w:fldChar w:fldCharType="separate"/>
            </w:r>
            <w:r>
              <w:rPr>
                <w:webHidden/>
              </w:rPr>
              <w:t>12</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0" w:history="1">
            <w:r w:rsidRPr="004859F4">
              <w:rPr>
                <w:rStyle w:val="Hyperlink"/>
                <w:lang w:val="en-GB"/>
              </w:rPr>
              <w:t xml:space="preserve">Access to tax concessions </w:t>
            </w:r>
            <w:r w:rsidRPr="004859F4">
              <w:rPr>
                <w:rStyle w:val="Hyperlink"/>
              </w:rPr>
              <w:t>extended</w:t>
            </w:r>
            <w:r w:rsidRPr="004859F4">
              <w:rPr>
                <w:rStyle w:val="Hyperlink"/>
                <w:lang w:val="en-GB"/>
              </w:rPr>
              <w:t xml:space="preserve"> to businesses up to $50m</w:t>
            </w:r>
            <w:r>
              <w:rPr>
                <w:webHidden/>
              </w:rPr>
              <w:tab/>
            </w:r>
            <w:r>
              <w:rPr>
                <w:webHidden/>
              </w:rPr>
              <w:fldChar w:fldCharType="begin"/>
            </w:r>
            <w:r>
              <w:rPr>
                <w:webHidden/>
              </w:rPr>
              <w:instrText xml:space="preserve"> PAGEREF _Toc52955450 \h </w:instrText>
            </w:r>
            <w:r>
              <w:rPr>
                <w:webHidden/>
              </w:rPr>
            </w:r>
            <w:r>
              <w:rPr>
                <w:webHidden/>
              </w:rPr>
              <w:fldChar w:fldCharType="separate"/>
            </w:r>
            <w:r>
              <w:rPr>
                <w:webHidden/>
              </w:rPr>
              <w:t>13</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1" w:history="1">
            <w:r w:rsidRPr="004859F4">
              <w:rPr>
                <w:rStyle w:val="Hyperlink"/>
                <w:lang w:val="en-GB"/>
              </w:rPr>
              <w:t>FBT exemption for retraining and reskilling workers</w:t>
            </w:r>
            <w:r>
              <w:rPr>
                <w:webHidden/>
              </w:rPr>
              <w:tab/>
            </w:r>
            <w:r>
              <w:rPr>
                <w:webHidden/>
              </w:rPr>
              <w:fldChar w:fldCharType="begin"/>
            </w:r>
            <w:r>
              <w:rPr>
                <w:webHidden/>
              </w:rPr>
              <w:instrText xml:space="preserve"> PAGEREF _Toc52955451 \h </w:instrText>
            </w:r>
            <w:r>
              <w:rPr>
                <w:webHidden/>
              </w:rPr>
            </w:r>
            <w:r>
              <w:rPr>
                <w:webHidden/>
              </w:rPr>
              <w:fldChar w:fldCharType="separate"/>
            </w:r>
            <w:r>
              <w:rPr>
                <w:webHidden/>
              </w:rPr>
              <w:t>14</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2" w:history="1">
            <w:r w:rsidRPr="004859F4">
              <w:rPr>
                <w:rStyle w:val="Hyperlink"/>
                <w:lang w:val="en-GB"/>
              </w:rPr>
              <w:t xml:space="preserve">Corporate residency test </w:t>
            </w:r>
            <w:r w:rsidRPr="004859F4">
              <w:rPr>
                <w:rStyle w:val="Hyperlink"/>
              </w:rPr>
              <w:t>changes</w:t>
            </w:r>
            <w:r>
              <w:rPr>
                <w:webHidden/>
              </w:rPr>
              <w:tab/>
            </w:r>
            <w:r>
              <w:rPr>
                <w:webHidden/>
              </w:rPr>
              <w:fldChar w:fldCharType="begin"/>
            </w:r>
            <w:r>
              <w:rPr>
                <w:webHidden/>
              </w:rPr>
              <w:instrText xml:space="preserve"> PAGEREF _Toc52955452 \h </w:instrText>
            </w:r>
            <w:r>
              <w:rPr>
                <w:webHidden/>
              </w:rPr>
            </w:r>
            <w:r>
              <w:rPr>
                <w:webHidden/>
              </w:rPr>
              <w:fldChar w:fldCharType="separate"/>
            </w:r>
            <w:r>
              <w:rPr>
                <w:webHidden/>
              </w:rPr>
              <w:t>14</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3" w:history="1">
            <w:r w:rsidRPr="004859F4">
              <w:rPr>
                <w:rStyle w:val="Hyperlink"/>
                <w:lang w:val="en-GB"/>
              </w:rPr>
              <w:t xml:space="preserve">FBT record keeping </w:t>
            </w:r>
            <w:r w:rsidRPr="004859F4">
              <w:rPr>
                <w:rStyle w:val="Hyperlink"/>
              </w:rPr>
              <w:t>simplified</w:t>
            </w:r>
            <w:r>
              <w:rPr>
                <w:webHidden/>
              </w:rPr>
              <w:tab/>
            </w:r>
            <w:r>
              <w:rPr>
                <w:webHidden/>
              </w:rPr>
              <w:fldChar w:fldCharType="begin"/>
            </w:r>
            <w:r>
              <w:rPr>
                <w:webHidden/>
              </w:rPr>
              <w:instrText xml:space="preserve"> PAGEREF _Toc52955453 \h </w:instrText>
            </w:r>
            <w:r>
              <w:rPr>
                <w:webHidden/>
              </w:rPr>
            </w:r>
            <w:r>
              <w:rPr>
                <w:webHidden/>
              </w:rPr>
              <w:fldChar w:fldCharType="separate"/>
            </w:r>
            <w:r>
              <w:rPr>
                <w:webHidden/>
              </w:rPr>
              <w:t>15</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4" w:history="1">
            <w:r w:rsidRPr="004859F4">
              <w:rPr>
                <w:rStyle w:val="Hyperlink"/>
                <w:lang w:val="en-GB"/>
              </w:rPr>
              <w:t xml:space="preserve">Managed investment trust withholding rate standardised across international information </w:t>
            </w:r>
            <w:r w:rsidRPr="004859F4">
              <w:rPr>
                <w:rStyle w:val="Hyperlink"/>
              </w:rPr>
              <w:t>sharing</w:t>
            </w:r>
            <w:r w:rsidRPr="004859F4">
              <w:rPr>
                <w:rStyle w:val="Hyperlink"/>
                <w:lang w:val="en-GB"/>
              </w:rPr>
              <w:t xml:space="preserve"> agreements</w:t>
            </w:r>
            <w:r>
              <w:rPr>
                <w:webHidden/>
              </w:rPr>
              <w:tab/>
            </w:r>
            <w:r>
              <w:rPr>
                <w:webHidden/>
              </w:rPr>
              <w:fldChar w:fldCharType="begin"/>
            </w:r>
            <w:r>
              <w:rPr>
                <w:webHidden/>
              </w:rPr>
              <w:instrText xml:space="preserve"> PAGEREF _Toc52955454 \h </w:instrText>
            </w:r>
            <w:r>
              <w:rPr>
                <w:webHidden/>
              </w:rPr>
            </w:r>
            <w:r>
              <w:rPr>
                <w:webHidden/>
              </w:rPr>
              <w:fldChar w:fldCharType="separate"/>
            </w:r>
            <w:r>
              <w:rPr>
                <w:webHidden/>
              </w:rPr>
              <w:t>15</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5" w:history="1">
            <w:r w:rsidRPr="004859F4">
              <w:rPr>
                <w:rStyle w:val="Hyperlink"/>
                <w:lang w:val="en-GB"/>
              </w:rPr>
              <w:t>Victorian business support grants to be tax-free</w:t>
            </w:r>
            <w:r>
              <w:rPr>
                <w:webHidden/>
              </w:rPr>
              <w:tab/>
            </w:r>
            <w:r>
              <w:rPr>
                <w:webHidden/>
              </w:rPr>
              <w:fldChar w:fldCharType="begin"/>
            </w:r>
            <w:r>
              <w:rPr>
                <w:webHidden/>
              </w:rPr>
              <w:instrText xml:space="preserve"> PAGEREF _Toc52955455 \h </w:instrText>
            </w:r>
            <w:r>
              <w:rPr>
                <w:webHidden/>
              </w:rPr>
            </w:r>
            <w:r>
              <w:rPr>
                <w:webHidden/>
              </w:rPr>
              <w:fldChar w:fldCharType="separate"/>
            </w:r>
            <w:r>
              <w:rPr>
                <w:webHidden/>
              </w:rPr>
              <w:t>16</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6" w:history="1">
            <w:r w:rsidRPr="004859F4">
              <w:rPr>
                <w:rStyle w:val="Hyperlink"/>
                <w:lang w:val="en-GB"/>
              </w:rPr>
              <w:t xml:space="preserve">100,000 new </w:t>
            </w:r>
            <w:r w:rsidRPr="004859F4">
              <w:rPr>
                <w:rStyle w:val="Hyperlink"/>
              </w:rPr>
              <w:t>apprenticeships</w:t>
            </w:r>
            <w:r>
              <w:rPr>
                <w:webHidden/>
              </w:rPr>
              <w:tab/>
            </w:r>
            <w:r>
              <w:rPr>
                <w:webHidden/>
              </w:rPr>
              <w:fldChar w:fldCharType="begin"/>
            </w:r>
            <w:r>
              <w:rPr>
                <w:webHidden/>
              </w:rPr>
              <w:instrText xml:space="preserve"> PAGEREF _Toc52955456 \h </w:instrText>
            </w:r>
            <w:r>
              <w:rPr>
                <w:webHidden/>
              </w:rPr>
            </w:r>
            <w:r>
              <w:rPr>
                <w:webHidden/>
              </w:rPr>
              <w:fldChar w:fldCharType="separate"/>
            </w:r>
            <w:r>
              <w:rPr>
                <w:webHidden/>
              </w:rPr>
              <w:t>16</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7" w:history="1">
            <w:r w:rsidRPr="004859F4">
              <w:rPr>
                <w:rStyle w:val="Hyperlink"/>
                <w:lang w:val="en-GB"/>
              </w:rPr>
              <w:t>Specific regional COVID-19 funding measures</w:t>
            </w:r>
            <w:r>
              <w:rPr>
                <w:webHidden/>
              </w:rPr>
              <w:tab/>
            </w:r>
            <w:r>
              <w:rPr>
                <w:webHidden/>
              </w:rPr>
              <w:fldChar w:fldCharType="begin"/>
            </w:r>
            <w:r>
              <w:rPr>
                <w:webHidden/>
              </w:rPr>
              <w:instrText xml:space="preserve"> PAGEREF _Toc52955457 \h </w:instrText>
            </w:r>
            <w:r>
              <w:rPr>
                <w:webHidden/>
              </w:rPr>
            </w:r>
            <w:r>
              <w:rPr>
                <w:webHidden/>
              </w:rPr>
              <w:fldChar w:fldCharType="separate"/>
            </w:r>
            <w:r>
              <w:rPr>
                <w:webHidden/>
              </w:rPr>
              <w:t>16</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58" w:history="1">
            <w:r w:rsidRPr="004859F4">
              <w:rPr>
                <w:rStyle w:val="Hyperlink"/>
                <w:lang w:val="en-GB"/>
              </w:rPr>
              <w:t>Infrastructure</w:t>
            </w:r>
            <w:r>
              <w:rPr>
                <w:webHidden/>
              </w:rPr>
              <w:tab/>
            </w:r>
            <w:r>
              <w:rPr>
                <w:webHidden/>
              </w:rPr>
              <w:fldChar w:fldCharType="begin"/>
            </w:r>
            <w:r>
              <w:rPr>
                <w:webHidden/>
              </w:rPr>
              <w:instrText xml:space="preserve"> PAGEREF _Toc52955458 \h </w:instrText>
            </w:r>
            <w:r>
              <w:rPr>
                <w:webHidden/>
              </w:rPr>
            </w:r>
            <w:r>
              <w:rPr>
                <w:webHidden/>
              </w:rPr>
              <w:fldChar w:fldCharType="separate"/>
            </w:r>
            <w:r>
              <w:rPr>
                <w:webHidden/>
              </w:rPr>
              <w:t>18</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59" w:history="1">
            <w:r w:rsidRPr="004859F4">
              <w:rPr>
                <w:rStyle w:val="Hyperlink"/>
                <w:lang w:val="en-GB"/>
              </w:rPr>
              <w:t>Water infrastructure</w:t>
            </w:r>
            <w:r>
              <w:rPr>
                <w:webHidden/>
              </w:rPr>
              <w:tab/>
            </w:r>
            <w:r>
              <w:rPr>
                <w:webHidden/>
              </w:rPr>
              <w:fldChar w:fldCharType="begin"/>
            </w:r>
            <w:r>
              <w:rPr>
                <w:webHidden/>
              </w:rPr>
              <w:instrText xml:space="preserve"> PAGEREF _Toc52955459 \h </w:instrText>
            </w:r>
            <w:r>
              <w:rPr>
                <w:webHidden/>
              </w:rPr>
            </w:r>
            <w:r>
              <w:rPr>
                <w:webHidden/>
              </w:rPr>
              <w:fldChar w:fldCharType="separate"/>
            </w:r>
            <w:r>
              <w:rPr>
                <w:webHidden/>
              </w:rPr>
              <w:t>18</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60" w:history="1">
            <w:r w:rsidRPr="004859F4">
              <w:rPr>
                <w:rStyle w:val="Hyperlink"/>
                <w:lang w:val="en-GB"/>
              </w:rPr>
              <w:t xml:space="preserve">$7.5bn transport </w:t>
            </w:r>
            <w:r w:rsidRPr="004859F4">
              <w:rPr>
                <w:rStyle w:val="Hyperlink"/>
              </w:rPr>
              <w:t>infrastructure</w:t>
            </w:r>
            <w:r w:rsidRPr="004859F4">
              <w:rPr>
                <w:rStyle w:val="Hyperlink"/>
                <w:lang w:val="en-GB"/>
              </w:rPr>
              <w:t xml:space="preserve"> injection</w:t>
            </w:r>
            <w:r>
              <w:rPr>
                <w:webHidden/>
              </w:rPr>
              <w:tab/>
            </w:r>
            <w:r>
              <w:rPr>
                <w:webHidden/>
              </w:rPr>
              <w:fldChar w:fldCharType="begin"/>
            </w:r>
            <w:r>
              <w:rPr>
                <w:webHidden/>
              </w:rPr>
              <w:instrText xml:space="preserve"> PAGEREF _Toc52955460 \h </w:instrText>
            </w:r>
            <w:r>
              <w:rPr>
                <w:webHidden/>
              </w:rPr>
            </w:r>
            <w:r>
              <w:rPr>
                <w:webHidden/>
              </w:rPr>
              <w:fldChar w:fldCharType="separate"/>
            </w:r>
            <w:r>
              <w:rPr>
                <w:webHidden/>
              </w:rPr>
              <w:t>18</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1" w:history="1">
            <w:r w:rsidRPr="004859F4">
              <w:rPr>
                <w:rStyle w:val="Hyperlink"/>
                <w:lang w:val="en-GB"/>
              </w:rPr>
              <w:t>Australian Capital Territory</w:t>
            </w:r>
            <w:r>
              <w:rPr>
                <w:webHidden/>
              </w:rPr>
              <w:tab/>
            </w:r>
            <w:r>
              <w:rPr>
                <w:webHidden/>
              </w:rPr>
              <w:fldChar w:fldCharType="begin"/>
            </w:r>
            <w:r>
              <w:rPr>
                <w:webHidden/>
              </w:rPr>
              <w:instrText xml:space="preserve"> PAGEREF _Toc52955461 \h </w:instrText>
            </w:r>
            <w:r>
              <w:rPr>
                <w:webHidden/>
              </w:rPr>
            </w:r>
            <w:r>
              <w:rPr>
                <w:webHidden/>
              </w:rPr>
              <w:fldChar w:fldCharType="separate"/>
            </w:r>
            <w:r>
              <w:rPr>
                <w:webHidden/>
              </w:rPr>
              <w:t>18</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2" w:history="1">
            <w:r w:rsidRPr="004859F4">
              <w:rPr>
                <w:rStyle w:val="Hyperlink"/>
                <w:lang w:val="en-GB"/>
              </w:rPr>
              <w:t>New South Wales</w:t>
            </w:r>
            <w:r>
              <w:rPr>
                <w:webHidden/>
              </w:rPr>
              <w:tab/>
            </w:r>
            <w:r>
              <w:rPr>
                <w:webHidden/>
              </w:rPr>
              <w:fldChar w:fldCharType="begin"/>
            </w:r>
            <w:r>
              <w:rPr>
                <w:webHidden/>
              </w:rPr>
              <w:instrText xml:space="preserve"> PAGEREF _Toc52955462 \h </w:instrText>
            </w:r>
            <w:r>
              <w:rPr>
                <w:webHidden/>
              </w:rPr>
            </w:r>
            <w:r>
              <w:rPr>
                <w:webHidden/>
              </w:rPr>
              <w:fldChar w:fldCharType="separate"/>
            </w:r>
            <w:r>
              <w:rPr>
                <w:webHidden/>
              </w:rPr>
              <w:t>18</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3" w:history="1">
            <w:r w:rsidRPr="004859F4">
              <w:rPr>
                <w:rStyle w:val="Hyperlink"/>
                <w:lang w:val="en-GB"/>
              </w:rPr>
              <w:t>Northern Territory</w:t>
            </w:r>
            <w:r>
              <w:rPr>
                <w:webHidden/>
              </w:rPr>
              <w:tab/>
            </w:r>
            <w:r>
              <w:rPr>
                <w:webHidden/>
              </w:rPr>
              <w:fldChar w:fldCharType="begin"/>
            </w:r>
            <w:r>
              <w:rPr>
                <w:webHidden/>
              </w:rPr>
              <w:instrText xml:space="preserve"> PAGEREF _Toc52955463 \h </w:instrText>
            </w:r>
            <w:r>
              <w:rPr>
                <w:webHidden/>
              </w:rPr>
            </w:r>
            <w:r>
              <w:rPr>
                <w:webHidden/>
              </w:rPr>
              <w:fldChar w:fldCharType="separate"/>
            </w:r>
            <w:r>
              <w:rPr>
                <w:webHidden/>
              </w:rPr>
              <w:t>18</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4" w:history="1">
            <w:r w:rsidRPr="004859F4">
              <w:rPr>
                <w:rStyle w:val="Hyperlink"/>
                <w:lang w:val="en-GB"/>
              </w:rPr>
              <w:t>Queensland</w:t>
            </w:r>
            <w:r>
              <w:rPr>
                <w:webHidden/>
              </w:rPr>
              <w:tab/>
            </w:r>
            <w:r>
              <w:rPr>
                <w:webHidden/>
              </w:rPr>
              <w:fldChar w:fldCharType="begin"/>
            </w:r>
            <w:r>
              <w:rPr>
                <w:webHidden/>
              </w:rPr>
              <w:instrText xml:space="preserve"> PAGEREF _Toc52955464 \h </w:instrText>
            </w:r>
            <w:r>
              <w:rPr>
                <w:webHidden/>
              </w:rPr>
            </w:r>
            <w:r>
              <w:rPr>
                <w:webHidden/>
              </w:rPr>
              <w:fldChar w:fldCharType="separate"/>
            </w:r>
            <w:r>
              <w:rPr>
                <w:webHidden/>
              </w:rPr>
              <w:t>19</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5" w:history="1">
            <w:r w:rsidRPr="004859F4">
              <w:rPr>
                <w:rStyle w:val="Hyperlink"/>
                <w:lang w:val="en-GB"/>
              </w:rPr>
              <w:t>South Australia</w:t>
            </w:r>
            <w:r>
              <w:rPr>
                <w:webHidden/>
              </w:rPr>
              <w:tab/>
            </w:r>
            <w:r>
              <w:rPr>
                <w:webHidden/>
              </w:rPr>
              <w:fldChar w:fldCharType="begin"/>
            </w:r>
            <w:r>
              <w:rPr>
                <w:webHidden/>
              </w:rPr>
              <w:instrText xml:space="preserve"> PAGEREF _Toc52955465 \h </w:instrText>
            </w:r>
            <w:r>
              <w:rPr>
                <w:webHidden/>
              </w:rPr>
            </w:r>
            <w:r>
              <w:rPr>
                <w:webHidden/>
              </w:rPr>
              <w:fldChar w:fldCharType="separate"/>
            </w:r>
            <w:r>
              <w:rPr>
                <w:webHidden/>
              </w:rPr>
              <w:t>19</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6" w:history="1">
            <w:r w:rsidRPr="004859F4">
              <w:rPr>
                <w:rStyle w:val="Hyperlink"/>
                <w:lang w:val="en-GB"/>
              </w:rPr>
              <w:t>Tasmania</w:t>
            </w:r>
            <w:r>
              <w:rPr>
                <w:webHidden/>
              </w:rPr>
              <w:tab/>
            </w:r>
            <w:r>
              <w:rPr>
                <w:webHidden/>
              </w:rPr>
              <w:fldChar w:fldCharType="begin"/>
            </w:r>
            <w:r>
              <w:rPr>
                <w:webHidden/>
              </w:rPr>
              <w:instrText xml:space="preserve"> PAGEREF _Toc52955466 \h </w:instrText>
            </w:r>
            <w:r>
              <w:rPr>
                <w:webHidden/>
              </w:rPr>
            </w:r>
            <w:r>
              <w:rPr>
                <w:webHidden/>
              </w:rPr>
              <w:fldChar w:fldCharType="separate"/>
            </w:r>
            <w:r>
              <w:rPr>
                <w:webHidden/>
              </w:rPr>
              <w:t>19</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7" w:history="1">
            <w:r w:rsidRPr="004859F4">
              <w:rPr>
                <w:rStyle w:val="Hyperlink"/>
                <w:lang w:val="en-GB"/>
              </w:rPr>
              <w:t>Victoria</w:t>
            </w:r>
            <w:r>
              <w:rPr>
                <w:webHidden/>
              </w:rPr>
              <w:tab/>
            </w:r>
            <w:r>
              <w:rPr>
                <w:webHidden/>
              </w:rPr>
              <w:fldChar w:fldCharType="begin"/>
            </w:r>
            <w:r>
              <w:rPr>
                <w:webHidden/>
              </w:rPr>
              <w:instrText xml:space="preserve"> PAGEREF _Toc52955467 \h </w:instrText>
            </w:r>
            <w:r>
              <w:rPr>
                <w:webHidden/>
              </w:rPr>
            </w:r>
            <w:r>
              <w:rPr>
                <w:webHidden/>
              </w:rPr>
              <w:fldChar w:fldCharType="separate"/>
            </w:r>
            <w:r>
              <w:rPr>
                <w:webHidden/>
              </w:rPr>
              <w:t>19</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68" w:history="1">
            <w:r w:rsidRPr="004859F4">
              <w:rPr>
                <w:rStyle w:val="Hyperlink"/>
                <w:lang w:val="en-GB"/>
              </w:rPr>
              <w:t>Western Australia</w:t>
            </w:r>
            <w:r>
              <w:rPr>
                <w:webHidden/>
              </w:rPr>
              <w:tab/>
            </w:r>
            <w:r>
              <w:rPr>
                <w:webHidden/>
              </w:rPr>
              <w:fldChar w:fldCharType="begin"/>
            </w:r>
            <w:r>
              <w:rPr>
                <w:webHidden/>
              </w:rPr>
              <w:instrText xml:space="preserve"> PAGEREF _Toc52955468 \h </w:instrText>
            </w:r>
            <w:r>
              <w:rPr>
                <w:webHidden/>
              </w:rPr>
            </w:r>
            <w:r>
              <w:rPr>
                <w:webHidden/>
              </w:rPr>
              <w:fldChar w:fldCharType="separate"/>
            </w:r>
            <w:r>
              <w:rPr>
                <w:webHidden/>
              </w:rPr>
              <w:t>20</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69" w:history="1">
            <w:r w:rsidRPr="004859F4">
              <w:rPr>
                <w:rStyle w:val="Hyperlink"/>
                <w:lang w:val="en-GB"/>
              </w:rPr>
              <w:t>Road and safety upgrades</w:t>
            </w:r>
            <w:r>
              <w:rPr>
                <w:webHidden/>
              </w:rPr>
              <w:tab/>
            </w:r>
            <w:r>
              <w:rPr>
                <w:webHidden/>
              </w:rPr>
              <w:fldChar w:fldCharType="begin"/>
            </w:r>
            <w:r>
              <w:rPr>
                <w:webHidden/>
              </w:rPr>
              <w:instrText xml:space="preserve"> PAGEREF _Toc52955469 \h </w:instrText>
            </w:r>
            <w:r>
              <w:rPr>
                <w:webHidden/>
              </w:rPr>
            </w:r>
            <w:r>
              <w:rPr>
                <w:webHidden/>
              </w:rPr>
              <w:fldChar w:fldCharType="separate"/>
            </w:r>
            <w:r>
              <w:rPr>
                <w:webHidden/>
              </w:rPr>
              <w:t>20</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0" w:history="1">
            <w:r w:rsidRPr="004859F4">
              <w:rPr>
                <w:rStyle w:val="Hyperlink"/>
                <w:lang w:val="en-GB"/>
              </w:rPr>
              <w:t xml:space="preserve">$150m for indigenous </w:t>
            </w:r>
            <w:r w:rsidRPr="004859F4">
              <w:rPr>
                <w:rStyle w:val="Hyperlink"/>
              </w:rPr>
              <w:t>home</w:t>
            </w:r>
            <w:r w:rsidRPr="004859F4">
              <w:rPr>
                <w:rStyle w:val="Hyperlink"/>
                <w:lang w:val="en-GB"/>
              </w:rPr>
              <w:t xml:space="preserve"> ownership program</w:t>
            </w:r>
            <w:r>
              <w:rPr>
                <w:webHidden/>
              </w:rPr>
              <w:tab/>
            </w:r>
            <w:r>
              <w:rPr>
                <w:webHidden/>
              </w:rPr>
              <w:fldChar w:fldCharType="begin"/>
            </w:r>
            <w:r>
              <w:rPr>
                <w:webHidden/>
              </w:rPr>
              <w:instrText xml:space="preserve"> PAGEREF _Toc52955470 \h </w:instrText>
            </w:r>
            <w:r>
              <w:rPr>
                <w:webHidden/>
              </w:rPr>
            </w:r>
            <w:r>
              <w:rPr>
                <w:webHidden/>
              </w:rPr>
              <w:fldChar w:fldCharType="separate"/>
            </w:r>
            <w:r>
              <w:rPr>
                <w:webHidden/>
              </w:rPr>
              <w:t>20</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71" w:history="1">
            <w:r w:rsidRPr="004859F4">
              <w:rPr>
                <w:rStyle w:val="Hyperlink"/>
                <w:lang w:val="en-GB"/>
              </w:rPr>
              <w:t>Other</w:t>
            </w:r>
            <w:r>
              <w:rPr>
                <w:webHidden/>
              </w:rPr>
              <w:tab/>
            </w:r>
            <w:r>
              <w:rPr>
                <w:webHidden/>
              </w:rPr>
              <w:fldChar w:fldCharType="begin"/>
            </w:r>
            <w:r>
              <w:rPr>
                <w:webHidden/>
              </w:rPr>
              <w:instrText xml:space="preserve"> PAGEREF _Toc52955471 \h </w:instrText>
            </w:r>
            <w:r>
              <w:rPr>
                <w:webHidden/>
              </w:rPr>
            </w:r>
            <w:r>
              <w:rPr>
                <w:webHidden/>
              </w:rPr>
              <w:fldChar w:fldCharType="separate"/>
            </w:r>
            <w:r>
              <w:rPr>
                <w:webHidden/>
              </w:rPr>
              <w:t>21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2" w:history="1">
            <w:r w:rsidRPr="004859F4">
              <w:rPr>
                <w:rStyle w:val="Hyperlink"/>
                <w:lang w:val="en-GB"/>
              </w:rPr>
              <w:t xml:space="preserve">$1bn university </w:t>
            </w:r>
            <w:r w:rsidRPr="004859F4">
              <w:rPr>
                <w:rStyle w:val="Hyperlink"/>
              </w:rPr>
              <w:t>research</w:t>
            </w:r>
            <w:r w:rsidRPr="004859F4">
              <w:rPr>
                <w:rStyle w:val="Hyperlink"/>
                <w:lang w:val="en-GB"/>
              </w:rPr>
              <w:t xml:space="preserve"> package</w:t>
            </w:r>
            <w:r>
              <w:rPr>
                <w:webHidden/>
              </w:rPr>
              <w:tab/>
            </w:r>
            <w:r>
              <w:rPr>
                <w:webHidden/>
              </w:rPr>
              <w:fldChar w:fldCharType="begin"/>
            </w:r>
            <w:r>
              <w:rPr>
                <w:webHidden/>
              </w:rPr>
              <w:instrText xml:space="preserve"> PAGEREF _Toc52955472 \h </w:instrText>
            </w:r>
            <w:r>
              <w:rPr>
                <w:webHidden/>
              </w:rPr>
            </w:r>
            <w:r>
              <w:rPr>
                <w:webHidden/>
              </w:rPr>
              <w:fldChar w:fldCharType="separate"/>
            </w:r>
            <w:r>
              <w:rPr>
                <w:webHidden/>
              </w:rPr>
              <w:t>21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3" w:history="1">
            <w:r w:rsidRPr="004859F4">
              <w:rPr>
                <w:rStyle w:val="Hyperlink"/>
                <w:lang w:val="en-GB"/>
              </w:rPr>
              <w:t xml:space="preserve">Modern </w:t>
            </w:r>
            <w:r w:rsidRPr="004859F4">
              <w:rPr>
                <w:rStyle w:val="Hyperlink"/>
              </w:rPr>
              <w:t>manufacturing</w:t>
            </w:r>
            <w:r>
              <w:rPr>
                <w:webHidden/>
              </w:rPr>
              <w:tab/>
            </w:r>
            <w:r>
              <w:rPr>
                <w:webHidden/>
              </w:rPr>
              <w:fldChar w:fldCharType="begin"/>
            </w:r>
            <w:r>
              <w:rPr>
                <w:webHidden/>
              </w:rPr>
              <w:instrText xml:space="preserve"> PAGEREF _Toc52955473 \h </w:instrText>
            </w:r>
            <w:r>
              <w:rPr>
                <w:webHidden/>
              </w:rPr>
            </w:r>
            <w:r>
              <w:rPr>
                <w:webHidden/>
              </w:rPr>
              <w:fldChar w:fldCharType="separate"/>
            </w:r>
            <w:r>
              <w:rPr>
                <w:webHidden/>
              </w:rPr>
              <w:t>21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4" w:history="1">
            <w:r w:rsidRPr="004859F4">
              <w:rPr>
                <w:rStyle w:val="Hyperlink"/>
                <w:lang w:val="en-GB"/>
              </w:rPr>
              <w:t xml:space="preserve">$1.9bn for new energy </w:t>
            </w:r>
            <w:r w:rsidRPr="004859F4">
              <w:rPr>
                <w:rStyle w:val="Hyperlink"/>
              </w:rPr>
              <w:t>technology</w:t>
            </w:r>
            <w:r>
              <w:rPr>
                <w:webHidden/>
              </w:rPr>
              <w:tab/>
            </w:r>
            <w:r>
              <w:rPr>
                <w:webHidden/>
              </w:rPr>
              <w:fldChar w:fldCharType="begin"/>
            </w:r>
            <w:r>
              <w:rPr>
                <w:webHidden/>
              </w:rPr>
              <w:instrText xml:space="preserve"> PAGEREF _Toc52955474 \h </w:instrText>
            </w:r>
            <w:r>
              <w:rPr>
                <w:webHidden/>
              </w:rPr>
            </w:r>
            <w:r>
              <w:rPr>
                <w:webHidden/>
              </w:rPr>
              <w:fldChar w:fldCharType="separate"/>
            </w:r>
            <w:r>
              <w:rPr>
                <w:webHidden/>
              </w:rPr>
              <w:t>21</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5" w:history="1">
            <w:r w:rsidRPr="004859F4">
              <w:rPr>
                <w:rStyle w:val="Hyperlink"/>
                <w:lang w:val="en-GB"/>
              </w:rPr>
              <w:t>Strengthening the Defence industry</w:t>
            </w:r>
            <w:r>
              <w:rPr>
                <w:webHidden/>
              </w:rPr>
              <w:tab/>
            </w:r>
            <w:r>
              <w:rPr>
                <w:webHidden/>
              </w:rPr>
              <w:fldChar w:fldCharType="begin"/>
            </w:r>
            <w:r>
              <w:rPr>
                <w:webHidden/>
              </w:rPr>
              <w:instrText xml:space="preserve"> PAGEREF _Toc52955475 \h </w:instrText>
            </w:r>
            <w:r>
              <w:rPr>
                <w:webHidden/>
              </w:rPr>
            </w:r>
            <w:r>
              <w:rPr>
                <w:webHidden/>
              </w:rPr>
              <w:fldChar w:fldCharType="separate"/>
            </w:r>
            <w:r>
              <w:rPr>
                <w:webHidden/>
              </w:rPr>
              <w:t>22</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76" w:history="1">
            <w:r w:rsidRPr="004859F4">
              <w:rPr>
                <w:rStyle w:val="Hyperlink"/>
                <w:lang w:val="en-GB"/>
              </w:rPr>
              <w:t>Enhancing regional programs</w:t>
            </w:r>
            <w:r>
              <w:rPr>
                <w:webHidden/>
              </w:rPr>
              <w:tab/>
            </w:r>
            <w:r>
              <w:rPr>
                <w:webHidden/>
              </w:rPr>
              <w:fldChar w:fldCharType="begin"/>
            </w:r>
            <w:r>
              <w:rPr>
                <w:webHidden/>
              </w:rPr>
              <w:instrText xml:space="preserve"> PAGEREF _Toc52955476 \h </w:instrText>
            </w:r>
            <w:r>
              <w:rPr>
                <w:webHidden/>
              </w:rPr>
            </w:r>
            <w:r>
              <w:rPr>
                <w:webHidden/>
              </w:rPr>
              <w:fldChar w:fldCharType="separate"/>
            </w:r>
            <w:r>
              <w:rPr>
                <w:webHidden/>
              </w:rPr>
              <w:t>22</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7" w:history="1">
            <w:r w:rsidRPr="004859F4">
              <w:rPr>
                <w:rStyle w:val="Hyperlink"/>
                <w:lang w:val="en-GB"/>
              </w:rPr>
              <w:t xml:space="preserve">Women’s economic </w:t>
            </w:r>
            <w:r w:rsidRPr="004859F4">
              <w:rPr>
                <w:rStyle w:val="Hyperlink"/>
              </w:rPr>
              <w:t>security</w:t>
            </w:r>
            <w:r>
              <w:rPr>
                <w:webHidden/>
              </w:rPr>
              <w:tab/>
            </w:r>
            <w:r>
              <w:rPr>
                <w:webHidden/>
              </w:rPr>
              <w:fldChar w:fldCharType="begin"/>
            </w:r>
            <w:r>
              <w:rPr>
                <w:webHidden/>
              </w:rPr>
              <w:instrText xml:space="preserve"> PAGEREF _Toc52955477 \h </w:instrText>
            </w:r>
            <w:r>
              <w:rPr>
                <w:webHidden/>
              </w:rPr>
            </w:r>
            <w:r>
              <w:rPr>
                <w:webHidden/>
              </w:rPr>
              <w:fldChar w:fldCharType="separate"/>
            </w:r>
            <w:r>
              <w:rPr>
                <w:webHidden/>
              </w:rPr>
              <w:t>22</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8" w:history="1">
            <w:r w:rsidRPr="004859F4">
              <w:rPr>
                <w:rStyle w:val="Hyperlink"/>
                <w:lang w:val="en-GB"/>
              </w:rPr>
              <w:t xml:space="preserve">Streamlining the </w:t>
            </w:r>
            <w:r w:rsidRPr="004859F4">
              <w:rPr>
                <w:rStyle w:val="Hyperlink"/>
              </w:rPr>
              <w:t>agricultural</w:t>
            </w:r>
            <w:r w:rsidRPr="004859F4">
              <w:rPr>
                <w:rStyle w:val="Hyperlink"/>
                <w:lang w:val="en-GB"/>
              </w:rPr>
              <w:t xml:space="preserve"> export process</w:t>
            </w:r>
            <w:r>
              <w:rPr>
                <w:webHidden/>
              </w:rPr>
              <w:tab/>
            </w:r>
            <w:r>
              <w:rPr>
                <w:webHidden/>
              </w:rPr>
              <w:fldChar w:fldCharType="begin"/>
            </w:r>
            <w:r>
              <w:rPr>
                <w:webHidden/>
              </w:rPr>
              <w:instrText xml:space="preserve"> PAGEREF _Toc52955478 \h </w:instrText>
            </w:r>
            <w:r>
              <w:rPr>
                <w:webHidden/>
              </w:rPr>
            </w:r>
            <w:r>
              <w:rPr>
                <w:webHidden/>
              </w:rPr>
              <w:fldChar w:fldCharType="separate"/>
            </w:r>
            <w:r>
              <w:rPr>
                <w:webHidden/>
              </w:rPr>
              <w:t>22</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79" w:history="1">
            <w:r w:rsidRPr="004859F4">
              <w:rPr>
                <w:rStyle w:val="Hyperlink"/>
                <w:lang w:val="en-GB"/>
              </w:rPr>
              <w:t xml:space="preserve">Support for drought affected farmers </w:t>
            </w:r>
            <w:r w:rsidRPr="004859F4">
              <w:rPr>
                <w:rStyle w:val="Hyperlink"/>
              </w:rPr>
              <w:t>and</w:t>
            </w:r>
            <w:r w:rsidRPr="004859F4">
              <w:rPr>
                <w:rStyle w:val="Hyperlink"/>
                <w:lang w:val="en-GB"/>
              </w:rPr>
              <w:t xml:space="preserve"> communities</w:t>
            </w:r>
            <w:r>
              <w:rPr>
                <w:webHidden/>
              </w:rPr>
              <w:tab/>
            </w:r>
            <w:r>
              <w:rPr>
                <w:webHidden/>
              </w:rPr>
              <w:fldChar w:fldCharType="begin"/>
            </w:r>
            <w:r>
              <w:rPr>
                <w:webHidden/>
              </w:rPr>
              <w:instrText xml:space="preserve"> PAGEREF _Toc52955479 \h </w:instrText>
            </w:r>
            <w:r>
              <w:rPr>
                <w:webHidden/>
              </w:rPr>
            </w:r>
            <w:r>
              <w:rPr>
                <w:webHidden/>
              </w:rPr>
              <w:fldChar w:fldCharType="separate"/>
            </w:r>
            <w:r>
              <w:rPr>
                <w:webHidden/>
              </w:rPr>
              <w:t>23</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80" w:history="1">
            <w:r w:rsidRPr="004859F4">
              <w:rPr>
                <w:rStyle w:val="Hyperlink"/>
                <w:lang w:val="en-GB"/>
              </w:rPr>
              <w:t>Import duty waived on medical and hygiene products</w:t>
            </w:r>
            <w:r>
              <w:rPr>
                <w:webHidden/>
              </w:rPr>
              <w:tab/>
            </w:r>
            <w:r>
              <w:rPr>
                <w:webHidden/>
              </w:rPr>
              <w:fldChar w:fldCharType="begin"/>
            </w:r>
            <w:r>
              <w:rPr>
                <w:webHidden/>
              </w:rPr>
              <w:instrText xml:space="preserve"> PAGEREF _Toc52955480 \h </w:instrText>
            </w:r>
            <w:r>
              <w:rPr>
                <w:webHidden/>
              </w:rPr>
            </w:r>
            <w:r>
              <w:rPr>
                <w:webHidden/>
              </w:rPr>
              <w:fldChar w:fldCharType="separate"/>
            </w:r>
            <w:r>
              <w:rPr>
                <w:webHidden/>
              </w:rPr>
              <w:t>23</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81" w:history="1">
            <w:r w:rsidRPr="004859F4">
              <w:rPr>
                <w:rStyle w:val="Hyperlink"/>
                <w:lang w:val="en-GB"/>
              </w:rPr>
              <w:t>2020-21 migration</w:t>
            </w:r>
            <w:r>
              <w:rPr>
                <w:webHidden/>
              </w:rPr>
              <w:tab/>
            </w:r>
            <w:r>
              <w:rPr>
                <w:webHidden/>
              </w:rPr>
              <w:fldChar w:fldCharType="begin"/>
            </w:r>
            <w:r>
              <w:rPr>
                <w:webHidden/>
              </w:rPr>
              <w:instrText xml:space="preserve"> PAGEREF _Toc52955481 \h </w:instrText>
            </w:r>
            <w:r>
              <w:rPr>
                <w:webHidden/>
              </w:rPr>
            </w:r>
            <w:r>
              <w:rPr>
                <w:webHidden/>
              </w:rPr>
              <w:fldChar w:fldCharType="separate"/>
            </w:r>
            <w:r>
              <w:rPr>
                <w:webHidden/>
              </w:rPr>
              <w:t>23</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82" w:history="1">
            <w:r w:rsidRPr="004859F4">
              <w:rPr>
                <w:rStyle w:val="Hyperlink"/>
                <w:lang w:val="en-GB"/>
              </w:rPr>
              <w:t>Business innovation and investment</w:t>
            </w:r>
            <w:r>
              <w:rPr>
                <w:webHidden/>
              </w:rPr>
              <w:tab/>
            </w:r>
            <w:r>
              <w:rPr>
                <w:webHidden/>
              </w:rPr>
              <w:fldChar w:fldCharType="begin"/>
            </w:r>
            <w:r>
              <w:rPr>
                <w:webHidden/>
              </w:rPr>
              <w:instrText xml:space="preserve"> PAGEREF _Toc52955482 \h </w:instrText>
            </w:r>
            <w:r>
              <w:rPr>
                <w:webHidden/>
              </w:rPr>
            </w:r>
            <w:r>
              <w:rPr>
                <w:webHidden/>
              </w:rPr>
              <w:fldChar w:fldCharType="separate"/>
            </w:r>
            <w:r>
              <w:rPr>
                <w:webHidden/>
              </w:rPr>
              <w:t>23</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83" w:history="1">
            <w:r w:rsidRPr="004859F4">
              <w:rPr>
                <w:rStyle w:val="Hyperlink"/>
                <w:lang w:val="en-GB"/>
              </w:rPr>
              <w:t>Temporary visa holders working in key sectors</w:t>
            </w:r>
            <w:r>
              <w:rPr>
                <w:webHidden/>
              </w:rPr>
              <w:tab/>
            </w:r>
            <w:r>
              <w:rPr>
                <w:webHidden/>
              </w:rPr>
              <w:fldChar w:fldCharType="begin"/>
            </w:r>
            <w:r>
              <w:rPr>
                <w:webHidden/>
              </w:rPr>
              <w:instrText xml:space="preserve"> PAGEREF _Toc52955483 \h </w:instrText>
            </w:r>
            <w:r>
              <w:rPr>
                <w:webHidden/>
              </w:rPr>
            </w:r>
            <w:r>
              <w:rPr>
                <w:webHidden/>
              </w:rPr>
              <w:fldChar w:fldCharType="separate"/>
            </w:r>
            <w:r>
              <w:rPr>
                <w:webHidden/>
              </w:rPr>
              <w:t>24</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84" w:history="1">
            <w:r w:rsidRPr="004859F4">
              <w:rPr>
                <w:rStyle w:val="Hyperlink"/>
                <w:lang w:val="en-GB"/>
              </w:rPr>
              <w:t>Agriculture</w:t>
            </w:r>
            <w:r>
              <w:rPr>
                <w:webHidden/>
              </w:rPr>
              <w:tab/>
            </w:r>
            <w:r>
              <w:rPr>
                <w:webHidden/>
              </w:rPr>
              <w:fldChar w:fldCharType="begin"/>
            </w:r>
            <w:r>
              <w:rPr>
                <w:webHidden/>
              </w:rPr>
              <w:instrText xml:space="preserve"> PAGEREF _Toc52955484 \h </w:instrText>
            </w:r>
            <w:r>
              <w:rPr>
                <w:webHidden/>
              </w:rPr>
            </w:r>
            <w:r>
              <w:rPr>
                <w:webHidden/>
              </w:rPr>
              <w:fldChar w:fldCharType="separate"/>
            </w:r>
            <w:r>
              <w:rPr>
                <w:webHidden/>
              </w:rPr>
              <w:t>24</w:t>
            </w:r>
            <w:r>
              <w:rPr>
                <w:webHidden/>
              </w:rPr>
              <w:fldChar w:fldCharType="end"/>
            </w:r>
          </w:hyperlink>
        </w:p>
        <w:p w:rsidR="004B4075" w:rsidRDefault="004B4075">
          <w:pPr>
            <w:pStyle w:val="TOC3"/>
            <w:rPr>
              <w:rFonts w:asciiTheme="minorHAnsi" w:eastAsiaTheme="minorEastAsia" w:hAnsiTheme="minorHAnsi" w:cstheme="minorBidi"/>
              <w:sz w:val="24"/>
              <w:szCs w:val="24"/>
              <w:lang w:val="en-AU" w:eastAsia="en-GB"/>
            </w:rPr>
          </w:pPr>
          <w:hyperlink w:anchor="_Toc52955485" w:history="1">
            <w:r w:rsidRPr="004859F4">
              <w:rPr>
                <w:rStyle w:val="Hyperlink"/>
                <w:lang w:val="en-GB"/>
              </w:rPr>
              <w:t>Supermarkets, aged and disability care</w:t>
            </w:r>
            <w:r>
              <w:rPr>
                <w:webHidden/>
              </w:rPr>
              <w:tab/>
            </w:r>
            <w:r>
              <w:rPr>
                <w:webHidden/>
              </w:rPr>
              <w:fldChar w:fldCharType="begin"/>
            </w:r>
            <w:r>
              <w:rPr>
                <w:webHidden/>
              </w:rPr>
              <w:instrText xml:space="preserve"> PAGEREF _Toc52955485 \h </w:instrText>
            </w:r>
            <w:r>
              <w:rPr>
                <w:webHidden/>
              </w:rPr>
            </w:r>
            <w:r>
              <w:rPr>
                <w:webHidden/>
              </w:rPr>
              <w:fldChar w:fldCharType="separate"/>
            </w:r>
            <w:r>
              <w:rPr>
                <w:webHidden/>
              </w:rPr>
              <w:t>24</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86" w:history="1">
            <w:r w:rsidRPr="004859F4">
              <w:rPr>
                <w:rStyle w:val="Hyperlink"/>
                <w:lang w:val="en-GB"/>
              </w:rPr>
              <w:t>Updated list of deductible gift recipients</w:t>
            </w:r>
            <w:r>
              <w:rPr>
                <w:webHidden/>
              </w:rPr>
              <w:tab/>
            </w:r>
            <w:r>
              <w:rPr>
                <w:webHidden/>
              </w:rPr>
              <w:fldChar w:fldCharType="begin"/>
            </w:r>
            <w:r>
              <w:rPr>
                <w:webHidden/>
              </w:rPr>
              <w:instrText xml:space="preserve"> PAGEREF _Toc52955486 \h </w:instrText>
            </w:r>
            <w:r>
              <w:rPr>
                <w:webHidden/>
              </w:rPr>
            </w:r>
            <w:r>
              <w:rPr>
                <w:webHidden/>
              </w:rPr>
              <w:fldChar w:fldCharType="separate"/>
            </w:r>
            <w:r>
              <w:rPr>
                <w:webHidden/>
              </w:rPr>
              <w:t>24</w:t>
            </w:r>
            <w:r>
              <w:rPr>
                <w:webHidden/>
              </w:rPr>
              <w:fldChar w:fldCharType="end"/>
            </w:r>
          </w:hyperlink>
        </w:p>
        <w:p w:rsidR="004B4075" w:rsidRDefault="004B4075">
          <w:pPr>
            <w:pStyle w:val="TOC2"/>
            <w:rPr>
              <w:rFonts w:asciiTheme="minorHAnsi" w:eastAsiaTheme="minorEastAsia" w:hAnsiTheme="minorHAnsi" w:cstheme="minorBidi"/>
              <w:sz w:val="24"/>
              <w:szCs w:val="24"/>
              <w:lang w:val="en-AU" w:eastAsia="en-GB"/>
            </w:rPr>
          </w:pPr>
          <w:hyperlink w:anchor="_Toc52955487" w:history="1">
            <w:r w:rsidRPr="004859F4">
              <w:rPr>
                <w:rStyle w:val="Hyperlink"/>
                <w:lang w:val="en-GB"/>
              </w:rPr>
              <w:t>Clarification of income tax exemption of workers with international organisations</w:t>
            </w:r>
            <w:r>
              <w:rPr>
                <w:webHidden/>
              </w:rPr>
              <w:tab/>
            </w:r>
            <w:r>
              <w:rPr>
                <w:webHidden/>
              </w:rPr>
              <w:fldChar w:fldCharType="begin"/>
            </w:r>
            <w:r>
              <w:rPr>
                <w:webHidden/>
              </w:rPr>
              <w:instrText xml:space="preserve"> PAGEREF _Toc52955487 \h </w:instrText>
            </w:r>
            <w:r>
              <w:rPr>
                <w:webHidden/>
              </w:rPr>
            </w:r>
            <w:r>
              <w:rPr>
                <w:webHidden/>
              </w:rPr>
              <w:fldChar w:fldCharType="separate"/>
            </w:r>
            <w:r>
              <w:rPr>
                <w:webHidden/>
              </w:rPr>
              <w:t>25</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88" w:history="1">
            <w:r w:rsidRPr="004859F4">
              <w:rPr>
                <w:rStyle w:val="Hyperlink"/>
                <w:lang w:val="en-GB"/>
              </w:rPr>
              <w:t>The Regulators</w:t>
            </w:r>
            <w:r>
              <w:rPr>
                <w:webHidden/>
              </w:rPr>
              <w:tab/>
            </w:r>
            <w:r>
              <w:rPr>
                <w:webHidden/>
              </w:rPr>
              <w:fldChar w:fldCharType="begin"/>
            </w:r>
            <w:r>
              <w:rPr>
                <w:webHidden/>
              </w:rPr>
              <w:instrText xml:space="preserve"> PAGEREF _Toc52955488 \h </w:instrText>
            </w:r>
            <w:r>
              <w:rPr>
                <w:webHidden/>
              </w:rPr>
            </w:r>
            <w:r>
              <w:rPr>
                <w:webHidden/>
              </w:rPr>
              <w:fldChar w:fldCharType="separate"/>
            </w:r>
            <w:r>
              <w:rPr>
                <w:webHidden/>
              </w:rPr>
              <w:t>25</w:t>
            </w:r>
            <w:r>
              <w:rPr>
                <w:webHidden/>
              </w:rPr>
              <w:fldChar w:fldCharType="end"/>
            </w:r>
          </w:hyperlink>
        </w:p>
        <w:p w:rsidR="004B4075" w:rsidRDefault="004B4075">
          <w:pPr>
            <w:pStyle w:val="TOC1"/>
            <w:rPr>
              <w:rFonts w:eastAsiaTheme="minorEastAsia" w:cstheme="minorBidi"/>
              <w:b w:val="0"/>
              <w:sz w:val="24"/>
              <w:szCs w:val="24"/>
              <w:lang w:val="en-AU" w:eastAsia="en-GB"/>
            </w:rPr>
          </w:pPr>
          <w:hyperlink w:anchor="_Toc52955489" w:history="1">
            <w:r w:rsidRPr="004859F4">
              <w:rPr>
                <w:rStyle w:val="Hyperlink"/>
                <w:lang w:val="en-GB"/>
              </w:rPr>
              <w:t>The Economy</w:t>
            </w:r>
            <w:r>
              <w:rPr>
                <w:webHidden/>
              </w:rPr>
              <w:tab/>
            </w:r>
            <w:r>
              <w:rPr>
                <w:webHidden/>
              </w:rPr>
              <w:fldChar w:fldCharType="begin"/>
            </w:r>
            <w:r>
              <w:rPr>
                <w:webHidden/>
              </w:rPr>
              <w:instrText xml:space="preserve"> PAGEREF _Toc52955489 \h </w:instrText>
            </w:r>
            <w:r>
              <w:rPr>
                <w:webHidden/>
              </w:rPr>
            </w:r>
            <w:r>
              <w:rPr>
                <w:webHidden/>
              </w:rPr>
              <w:fldChar w:fldCharType="separate"/>
            </w:r>
            <w:r>
              <w:rPr>
                <w:webHidden/>
              </w:rPr>
              <w:t>26</w:t>
            </w:r>
            <w:r>
              <w:rPr>
                <w:webHidden/>
              </w:rPr>
              <w:fldChar w:fldCharType="end"/>
            </w:r>
          </w:hyperlink>
        </w:p>
        <w:p w:rsidR="00573DFF" w:rsidRPr="00FF0647" w:rsidRDefault="0023345F" w:rsidP="00573DFF">
          <w:pPr>
            <w:rPr>
              <w:lang w:val="en-GB"/>
            </w:rPr>
          </w:pPr>
          <w:r w:rsidRPr="00FF0647">
            <w:rPr>
              <w:rFonts w:cstheme="minorHAnsi"/>
              <w:sz w:val="20"/>
              <w:szCs w:val="20"/>
              <w:lang w:val="en-GB"/>
            </w:rPr>
            <w:fldChar w:fldCharType="end"/>
          </w:r>
        </w:p>
      </w:sdtContent>
    </w:sdt>
    <w:p w:rsidR="00CA2D84" w:rsidRPr="00FF0647" w:rsidRDefault="00CA2D84" w:rsidP="00CA2D84">
      <w:pPr>
        <w:spacing w:line="240" w:lineRule="auto"/>
        <w:rPr>
          <w:sz w:val="17"/>
          <w:szCs w:val="17"/>
          <w:lang w:val="en-GB"/>
        </w:rPr>
      </w:pPr>
    </w:p>
    <w:p w:rsidR="00CA2D84" w:rsidRPr="00FF0647" w:rsidRDefault="00CA2D84" w:rsidP="00CA2D84">
      <w:pPr>
        <w:spacing w:line="240" w:lineRule="auto"/>
        <w:rPr>
          <w:sz w:val="17"/>
          <w:szCs w:val="17"/>
          <w:lang w:val="en-GB"/>
        </w:rPr>
      </w:pPr>
      <w:r w:rsidRPr="00FF0647">
        <w:rPr>
          <w:sz w:val="17"/>
          <w:szCs w:val="17"/>
          <w:lang w:val="en-GB"/>
        </w:rPr>
        <w:t>The information contained herein is provided on the understanding that it neither represents nor is intended to be advice or that the authors or distributor is engaged in rendering legal or professional advice. Whilst every care has been taken in its preparation no person should act specifically on the basis of the material contained herein. If assistance is required, professional advice should be obtained.</w:t>
      </w:r>
    </w:p>
    <w:p w:rsidR="00CA2D84" w:rsidRPr="00FF0647" w:rsidRDefault="00CA2D84" w:rsidP="00CA2D84">
      <w:pPr>
        <w:spacing w:line="240" w:lineRule="auto"/>
        <w:rPr>
          <w:sz w:val="17"/>
          <w:szCs w:val="17"/>
          <w:lang w:val="en-GB"/>
        </w:rPr>
      </w:pPr>
    </w:p>
    <w:p w:rsidR="00CA2D84" w:rsidRPr="00FF0647" w:rsidRDefault="00CA2D84" w:rsidP="00CA2D84">
      <w:pPr>
        <w:spacing w:line="240" w:lineRule="auto"/>
        <w:rPr>
          <w:sz w:val="17"/>
          <w:szCs w:val="17"/>
          <w:lang w:val="en-GB"/>
        </w:rPr>
      </w:pPr>
      <w:r w:rsidRPr="00FF0647">
        <w:rPr>
          <w:sz w:val="17"/>
          <w:szCs w:val="17"/>
          <w:lang w:val="en-GB"/>
        </w:rPr>
        <w:t xml:space="preserve">The material contained in the </w:t>
      </w:r>
      <w:r w:rsidR="00A4342F" w:rsidRPr="00FF0647">
        <w:rPr>
          <w:sz w:val="17"/>
          <w:szCs w:val="17"/>
          <w:lang w:val="en-GB"/>
        </w:rPr>
        <w:t xml:space="preserve">2020-21 Budget Update </w:t>
      </w:r>
      <w:r w:rsidRPr="00FF0647">
        <w:rPr>
          <w:sz w:val="17"/>
          <w:szCs w:val="17"/>
          <w:lang w:val="en-GB"/>
        </w:rPr>
        <w:t xml:space="preserve">should be used as a guide in conjunction with professional expertise and judgement.  All responsibility for applications of the </w:t>
      </w:r>
      <w:r w:rsidR="00A4342F" w:rsidRPr="00FF0647">
        <w:rPr>
          <w:sz w:val="17"/>
          <w:szCs w:val="17"/>
          <w:lang w:val="en-GB"/>
        </w:rPr>
        <w:t xml:space="preserve">2020-21 Budget Update </w:t>
      </w:r>
      <w:r w:rsidRPr="00FF0647">
        <w:rPr>
          <w:sz w:val="17"/>
          <w:szCs w:val="17"/>
          <w:lang w:val="en-GB"/>
        </w:rPr>
        <w:t xml:space="preserve">and for the direct or indirect consequences of decisions based on the </w:t>
      </w:r>
      <w:r w:rsidR="00A4342F" w:rsidRPr="00FF0647">
        <w:rPr>
          <w:sz w:val="17"/>
          <w:szCs w:val="17"/>
          <w:lang w:val="en-GB"/>
        </w:rPr>
        <w:t xml:space="preserve">2020-21 Budget Update </w:t>
      </w:r>
      <w:r w:rsidRPr="00FF0647">
        <w:rPr>
          <w:sz w:val="17"/>
          <w:szCs w:val="17"/>
          <w:lang w:val="en-GB"/>
        </w:rPr>
        <w:t xml:space="preserve">rests with the user. Knowledge Shop Pty Ltd, </w:t>
      </w:r>
      <w:r w:rsidR="00A92003" w:rsidRPr="00A92003">
        <w:rPr>
          <w:b/>
          <w:bCs/>
          <w:color w:val="FF0000"/>
          <w:sz w:val="17"/>
          <w:szCs w:val="17"/>
          <w:lang w:val="en-GB"/>
        </w:rPr>
        <w:t>firm name</w:t>
      </w:r>
      <w:r w:rsidR="00A92003" w:rsidRPr="00A92003">
        <w:rPr>
          <w:color w:val="FF0000"/>
          <w:sz w:val="17"/>
          <w:szCs w:val="17"/>
          <w:lang w:val="en-GB"/>
        </w:rPr>
        <w:t xml:space="preserve"> </w:t>
      </w:r>
      <w:r w:rsidRPr="00FF0647">
        <w:rPr>
          <w:sz w:val="17"/>
          <w:szCs w:val="17"/>
          <w:lang w:val="en-GB"/>
        </w:rPr>
        <w:t xml:space="preserve">directors and authors or any other person involved in the preparation and distribution of this guide, expressly disclaim all and any contractual, tortious or other form of liability to any person in respect of the </w:t>
      </w:r>
      <w:r w:rsidR="00A4342F" w:rsidRPr="00FF0647">
        <w:rPr>
          <w:sz w:val="17"/>
          <w:szCs w:val="17"/>
          <w:lang w:val="en-GB"/>
        </w:rPr>
        <w:t xml:space="preserve">2020-21 Budget Update </w:t>
      </w:r>
      <w:r w:rsidRPr="00FF0647">
        <w:rPr>
          <w:sz w:val="17"/>
          <w:szCs w:val="17"/>
          <w:lang w:val="en-GB"/>
        </w:rPr>
        <w:t>and any consequences arising from its use by any person in reliance upon the whole or any part of the contents of this guide.</w:t>
      </w:r>
    </w:p>
    <w:p w:rsidR="00CA2D84" w:rsidRPr="00FF0647" w:rsidRDefault="00CA2D84" w:rsidP="00CA2D84">
      <w:pPr>
        <w:spacing w:line="240" w:lineRule="auto"/>
        <w:rPr>
          <w:sz w:val="17"/>
          <w:szCs w:val="17"/>
          <w:lang w:val="en-GB"/>
        </w:rPr>
      </w:pPr>
    </w:p>
    <w:p w:rsidR="00CA2D84" w:rsidRPr="00FF0647" w:rsidRDefault="00CA2D84" w:rsidP="00CA2D84">
      <w:pPr>
        <w:spacing w:line="240" w:lineRule="auto"/>
        <w:rPr>
          <w:sz w:val="17"/>
          <w:szCs w:val="17"/>
          <w:lang w:val="en-GB"/>
        </w:rPr>
      </w:pPr>
      <w:r w:rsidRPr="00FF0647">
        <w:rPr>
          <w:sz w:val="17"/>
          <w:szCs w:val="17"/>
          <w:lang w:val="en-GB"/>
        </w:rPr>
        <w:t>Copyright © Knowledge Shop Pty Lt</w:t>
      </w:r>
      <w:r w:rsidR="00A92003">
        <w:rPr>
          <w:sz w:val="17"/>
          <w:szCs w:val="17"/>
          <w:lang w:val="en-GB"/>
        </w:rPr>
        <w:t>d</w:t>
      </w:r>
      <w:r w:rsidRPr="00FF0647">
        <w:rPr>
          <w:sz w:val="17"/>
          <w:szCs w:val="17"/>
          <w:lang w:val="en-GB"/>
        </w:rPr>
        <w:t xml:space="preserve">. </w:t>
      </w:r>
      <w:r w:rsidR="00A4342F" w:rsidRPr="00FF0647">
        <w:rPr>
          <w:sz w:val="17"/>
          <w:szCs w:val="17"/>
          <w:lang w:val="en-GB"/>
        </w:rPr>
        <w:t>7 October 2020</w:t>
      </w:r>
    </w:p>
    <w:p w:rsidR="00CA2D84" w:rsidRPr="00FF0647" w:rsidRDefault="00CA2D84" w:rsidP="00CA2D84">
      <w:pPr>
        <w:spacing w:line="240" w:lineRule="auto"/>
        <w:rPr>
          <w:sz w:val="17"/>
          <w:szCs w:val="17"/>
          <w:lang w:val="en-GB"/>
        </w:rPr>
      </w:pPr>
    </w:p>
    <w:p w:rsidR="00CA2D84" w:rsidRPr="00FF0647" w:rsidRDefault="00CA2D84" w:rsidP="00CA2D84">
      <w:pPr>
        <w:spacing w:line="240" w:lineRule="auto"/>
        <w:rPr>
          <w:sz w:val="17"/>
          <w:szCs w:val="17"/>
          <w:lang w:val="en-GB"/>
        </w:rPr>
      </w:pPr>
      <w:r w:rsidRPr="00FF0647">
        <w:rPr>
          <w:sz w:val="17"/>
          <w:szCs w:val="17"/>
          <w:lang w:val="en-GB"/>
        </w:rPr>
        <w:t xml:space="preserve">All rights reserved. No part of the </w:t>
      </w:r>
      <w:r w:rsidR="00A4342F" w:rsidRPr="00FF0647">
        <w:rPr>
          <w:sz w:val="17"/>
          <w:szCs w:val="17"/>
          <w:lang w:val="en-GB"/>
        </w:rPr>
        <w:t xml:space="preserve">2020-21 Budget Update </w:t>
      </w:r>
      <w:r w:rsidRPr="00FF0647">
        <w:rPr>
          <w:sz w:val="17"/>
          <w:szCs w:val="17"/>
          <w:lang w:val="en-GB"/>
        </w:rPr>
        <w:t>should be reproduced or utilised in any form or by any means, electronic or mechanical, including photocopying, recording or by information storage or retrieval system, other than specified without written permission from Knowledge Shop Pty Ltd.</w:t>
      </w:r>
    </w:p>
    <w:p w:rsidR="00CA2D84" w:rsidRPr="00FF0647" w:rsidRDefault="00CA2D84" w:rsidP="00CA2D84">
      <w:pPr>
        <w:spacing w:line="240" w:lineRule="auto"/>
        <w:rPr>
          <w:sz w:val="17"/>
          <w:szCs w:val="17"/>
          <w:lang w:val="en-GB"/>
        </w:rPr>
      </w:pPr>
    </w:p>
    <w:p w:rsidR="000161EA" w:rsidRPr="00A92003" w:rsidRDefault="000161EA" w:rsidP="00A92003">
      <w:pPr>
        <w:spacing w:line="240" w:lineRule="auto"/>
        <w:rPr>
          <w:sz w:val="17"/>
          <w:szCs w:val="17"/>
          <w:lang w:val="en-GB"/>
        </w:rPr>
      </w:pPr>
      <w:r w:rsidRPr="00FF0647">
        <w:rPr>
          <w:color w:val="FF0000"/>
          <w:sz w:val="16"/>
          <w:szCs w:val="16"/>
          <w:lang w:val="en-GB"/>
        </w:rPr>
        <w:br w:type="page"/>
      </w:r>
    </w:p>
    <w:p w:rsidR="00AF053E" w:rsidRPr="00FF0647" w:rsidRDefault="00E673F6" w:rsidP="00E17255">
      <w:pPr>
        <w:rPr>
          <w:lang w:val="en-GB"/>
        </w:rPr>
      </w:pPr>
      <w:r>
        <w:rPr>
          <w:noProof/>
          <w:lang w:val="en-GB"/>
        </w:rPr>
        <w:lastRenderedPageBreak/>
        <mc:AlternateContent>
          <mc:Choice Requires="wps">
            <w:drawing>
              <wp:anchor distT="0" distB="0" distL="114300" distR="114300" simplePos="0" relativeHeight="251779581" behindDoc="1" locked="0" layoutInCell="1" allowOverlap="1">
                <wp:simplePos x="0" y="0"/>
                <wp:positionH relativeFrom="column">
                  <wp:posOffset>-886460</wp:posOffset>
                </wp:positionH>
                <wp:positionV relativeFrom="paragraph">
                  <wp:posOffset>-1262063</wp:posOffset>
                </wp:positionV>
                <wp:extent cx="7522368" cy="10667207"/>
                <wp:effectExtent l="0" t="0" r="0" b="1270"/>
                <wp:wrapNone/>
                <wp:docPr id="1" name="Rectangle 1"/>
                <wp:cNvGraphicFramePr/>
                <a:graphic xmlns:a="http://schemas.openxmlformats.org/drawingml/2006/main">
                  <a:graphicData uri="http://schemas.microsoft.com/office/word/2010/wordprocessingShape">
                    <wps:wsp>
                      <wps:cNvSpPr/>
                      <wps:spPr>
                        <a:xfrm>
                          <a:off x="0" y="0"/>
                          <a:ext cx="7522368" cy="10667207"/>
                        </a:xfrm>
                        <a:prstGeom prst="rect">
                          <a:avLst/>
                        </a:prstGeom>
                        <a:solidFill>
                          <a:srgbClr val="102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4BA51" id="Rectangle 1" o:spid="_x0000_s1026" style="position:absolute;margin-left:-69.8pt;margin-top:-99.4pt;width:592.3pt;height:839.95pt;z-index:-251536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" fillcolor="#102246" stroked="f" strokeweight="2pt"/>
            </w:pict>
          </mc:Fallback>
        </mc:AlternateContent>
      </w:r>
    </w:p>
    <w:p w:rsidR="00EA74D1" w:rsidRPr="00E673F6" w:rsidRDefault="00AF053E" w:rsidP="00AF053E">
      <w:pPr>
        <w:pStyle w:val="Heading1"/>
        <w:rPr>
          <w:b/>
          <w:bCs/>
          <w:color w:val="FFFFFF" w:themeColor="background1"/>
          <w:lang w:val="en-GB"/>
        </w:rPr>
      </w:pPr>
      <w:bookmarkStart w:id="0" w:name="_Toc52955427"/>
      <w:r w:rsidRPr="00E673F6">
        <w:rPr>
          <w:b/>
          <w:bCs/>
          <w:color w:val="FFFFFF" w:themeColor="background1"/>
          <w:lang w:val="en-GB"/>
        </w:rPr>
        <w:t xml:space="preserve">Road to </w:t>
      </w:r>
      <w:r w:rsidR="00C46353" w:rsidRPr="00E673F6">
        <w:rPr>
          <w:b/>
          <w:bCs/>
          <w:color w:val="FFFFFF" w:themeColor="background1"/>
          <w:lang w:val="en-GB"/>
        </w:rPr>
        <w:t>R</w:t>
      </w:r>
      <w:r w:rsidRPr="00E673F6">
        <w:rPr>
          <w:b/>
          <w:bCs/>
          <w:color w:val="FFFFFF" w:themeColor="background1"/>
          <w:lang w:val="en-GB"/>
        </w:rPr>
        <w:t>ecovery?</w:t>
      </w:r>
      <w:bookmarkEnd w:id="0"/>
    </w:p>
    <w:p w:rsidR="00893221" w:rsidRPr="00E673F6" w:rsidRDefault="00F77935" w:rsidP="00AF053E">
      <w:pPr>
        <w:rPr>
          <w:color w:val="FFFFFF" w:themeColor="background1"/>
          <w:lang w:val="en-GB"/>
        </w:rPr>
      </w:pPr>
      <w:r w:rsidRPr="00E673F6">
        <w:rPr>
          <w:b/>
          <w:bCs/>
          <w:color w:val="FFFFFF" w:themeColor="background1"/>
          <w:lang w:val="en-GB"/>
        </w:rPr>
        <w:t>T</w:t>
      </w:r>
      <w:r w:rsidR="00893221" w:rsidRPr="00E673F6">
        <w:rPr>
          <w:b/>
          <w:bCs/>
          <w:color w:val="FFFFFF" w:themeColor="background1"/>
          <w:lang w:val="en-GB"/>
        </w:rPr>
        <w:t xml:space="preserve">he 2020-21 Federal Budget is </w:t>
      </w:r>
      <w:r w:rsidRPr="00E673F6">
        <w:rPr>
          <w:b/>
          <w:bCs/>
          <w:color w:val="FFFFFF" w:themeColor="background1"/>
          <w:lang w:val="en-GB"/>
        </w:rPr>
        <w:t>a</w:t>
      </w:r>
      <w:r w:rsidR="00893221" w:rsidRPr="00E673F6">
        <w:rPr>
          <w:b/>
          <w:bCs/>
          <w:color w:val="FFFFFF" w:themeColor="background1"/>
          <w:lang w:val="en-GB"/>
        </w:rPr>
        <w:t xml:space="preserve"> road to recovery paved with cash.</w:t>
      </w:r>
      <w:r w:rsidR="00893221" w:rsidRPr="00E673F6">
        <w:rPr>
          <w:color w:val="FFFFFF" w:themeColor="background1"/>
          <w:lang w:val="en-GB"/>
        </w:rPr>
        <w:t xml:space="preserve"> </w:t>
      </w:r>
    </w:p>
    <w:p w:rsidR="005F4190" w:rsidRPr="00E673F6" w:rsidRDefault="005F4190" w:rsidP="00AF053E">
      <w:pPr>
        <w:rPr>
          <w:color w:val="FFFFFF" w:themeColor="background1"/>
          <w:lang w:val="en-GB"/>
        </w:rPr>
      </w:pPr>
    </w:p>
    <w:p w:rsidR="005F4190" w:rsidRPr="00E673F6" w:rsidRDefault="005F4190" w:rsidP="00AF053E">
      <w:pPr>
        <w:rPr>
          <w:color w:val="FFFFFF" w:themeColor="background1"/>
          <w:lang w:val="en-GB"/>
        </w:rPr>
      </w:pPr>
      <w:r w:rsidRPr="00E673F6">
        <w:rPr>
          <w:color w:val="FFFFFF" w:themeColor="background1"/>
          <w:lang w:val="en-GB"/>
        </w:rPr>
        <w:t>Key initiatives include:</w:t>
      </w:r>
    </w:p>
    <w:p w:rsidR="00A61422" w:rsidRPr="00E673F6" w:rsidRDefault="00A61422" w:rsidP="005F4190">
      <w:pPr>
        <w:pStyle w:val="ListParagraph"/>
        <w:rPr>
          <w:color w:val="FFFFFF" w:themeColor="background1"/>
        </w:rPr>
      </w:pPr>
      <w:r w:rsidRPr="00E673F6">
        <w:rPr>
          <w:color w:val="FFFFFF" w:themeColor="background1"/>
        </w:rPr>
        <w:t>Personal income tax cuts from 1 July 2020</w:t>
      </w:r>
    </w:p>
    <w:p w:rsidR="005F4190" w:rsidRPr="00E673F6" w:rsidRDefault="00E17255" w:rsidP="005F4190">
      <w:pPr>
        <w:pStyle w:val="ListParagraph"/>
        <w:rPr>
          <w:color w:val="FFFFFF" w:themeColor="background1"/>
        </w:rPr>
      </w:pPr>
      <w:r w:rsidRPr="00E673F6">
        <w:rPr>
          <w:color w:val="FFFFFF" w:themeColor="background1"/>
        </w:rPr>
        <w:t>A</w:t>
      </w:r>
      <w:r w:rsidR="005F4190" w:rsidRPr="00E673F6">
        <w:rPr>
          <w:color w:val="FFFFFF" w:themeColor="background1"/>
        </w:rPr>
        <w:t xml:space="preserve"> $4 billion </w:t>
      </w:r>
      <w:r w:rsidRPr="00E673F6">
        <w:rPr>
          <w:color w:val="FFFFFF" w:themeColor="background1"/>
        </w:rPr>
        <w:t>‘</w:t>
      </w:r>
      <w:r w:rsidR="005F4190" w:rsidRPr="00E673F6">
        <w:rPr>
          <w:color w:val="FFFFFF" w:themeColor="background1"/>
        </w:rPr>
        <w:t>JobMaker</w:t>
      </w:r>
      <w:r w:rsidRPr="00E673F6">
        <w:rPr>
          <w:color w:val="FFFFFF" w:themeColor="background1"/>
        </w:rPr>
        <w:t>’</w:t>
      </w:r>
      <w:r w:rsidR="005F4190" w:rsidRPr="00E673F6">
        <w:rPr>
          <w:color w:val="FFFFFF" w:themeColor="background1"/>
        </w:rPr>
        <w:t xml:space="preserve"> Hiring Credit to encourage businesses to take on additional employees aged 16 to 35 years old</w:t>
      </w:r>
    </w:p>
    <w:p w:rsidR="005F4190" w:rsidRPr="00E673F6" w:rsidRDefault="005F4190" w:rsidP="005F4190">
      <w:pPr>
        <w:pStyle w:val="ListParagraph"/>
        <w:rPr>
          <w:color w:val="FFFFFF" w:themeColor="background1"/>
        </w:rPr>
      </w:pPr>
      <w:r w:rsidRPr="00E673F6">
        <w:rPr>
          <w:color w:val="FFFFFF" w:themeColor="background1"/>
        </w:rPr>
        <w:t>$110 billion in infrastructure investment over 10 years</w:t>
      </w:r>
    </w:p>
    <w:p w:rsidR="00B3270F" w:rsidRPr="00E673F6" w:rsidRDefault="00B3270F" w:rsidP="005F4190">
      <w:pPr>
        <w:pStyle w:val="ListParagraph"/>
        <w:rPr>
          <w:color w:val="FFFFFF" w:themeColor="background1"/>
        </w:rPr>
      </w:pPr>
      <w:r w:rsidRPr="00E673F6">
        <w:rPr>
          <w:color w:val="FFFFFF" w:themeColor="background1"/>
        </w:rPr>
        <w:t>Immediate deductions for business investment in capital assets</w:t>
      </w:r>
    </w:p>
    <w:p w:rsidR="00B3270F" w:rsidRPr="00E673F6" w:rsidRDefault="00B3270F" w:rsidP="005F4190">
      <w:pPr>
        <w:pStyle w:val="ListParagraph"/>
        <w:rPr>
          <w:color w:val="FFFFFF" w:themeColor="background1"/>
        </w:rPr>
      </w:pPr>
      <w:r w:rsidRPr="00E673F6">
        <w:rPr>
          <w:color w:val="FFFFFF" w:themeColor="background1"/>
        </w:rPr>
        <w:t>Changes to how companies can manage losses</w:t>
      </w:r>
    </w:p>
    <w:p w:rsidR="00B3270F" w:rsidRPr="00E673F6" w:rsidRDefault="00B3270F" w:rsidP="005F4190">
      <w:pPr>
        <w:pStyle w:val="ListParagraph"/>
        <w:rPr>
          <w:color w:val="FFFFFF" w:themeColor="background1"/>
        </w:rPr>
      </w:pPr>
      <w:r w:rsidRPr="00E673F6">
        <w:rPr>
          <w:color w:val="FFFFFF" w:themeColor="background1"/>
        </w:rPr>
        <w:t>Access to generous tax concessions for a wider range of businesses</w:t>
      </w:r>
    </w:p>
    <w:p w:rsidR="00AF0F3D" w:rsidRPr="00E673F6" w:rsidRDefault="00AF0F3D" w:rsidP="00AF0F3D">
      <w:pPr>
        <w:pStyle w:val="ListParagraph"/>
        <w:numPr>
          <w:ilvl w:val="0"/>
          <w:numId w:val="0"/>
        </w:numPr>
        <w:ind w:left="720"/>
        <w:rPr>
          <w:color w:val="FFFFFF" w:themeColor="background1"/>
        </w:rPr>
      </w:pPr>
    </w:p>
    <w:p w:rsidR="00E17255" w:rsidRPr="00E673F6" w:rsidRDefault="00E17255" w:rsidP="00E17255">
      <w:pPr>
        <w:rPr>
          <w:color w:val="FFFFFF" w:themeColor="background1"/>
        </w:rPr>
      </w:pPr>
    </w:p>
    <w:p w:rsidR="00AF0F3D" w:rsidRPr="00E673F6" w:rsidRDefault="00AF0F3D" w:rsidP="00E17255">
      <w:pPr>
        <w:rPr>
          <w:color w:val="FFFFFF" w:themeColor="background1"/>
        </w:rPr>
        <w:sectPr w:rsidR="00AF0F3D" w:rsidRPr="00E673F6" w:rsidSect="00B34785">
          <w:footerReference w:type="even" r:id="rId12"/>
          <w:footerReference w:type="default" r:id="rId13"/>
          <w:pgSz w:w="11906" w:h="16838" w:code="9"/>
          <w:pgMar w:top="1985" w:right="1416" w:bottom="1134" w:left="1418" w:header="709" w:footer="567" w:gutter="0"/>
          <w:cols w:space="708"/>
          <w:titlePg/>
          <w:docGrid w:linePitch="360"/>
        </w:sectPr>
      </w:pPr>
    </w:p>
    <w:p w:rsidR="00A61422" w:rsidRPr="00E673F6" w:rsidRDefault="00E17255" w:rsidP="00E17255">
      <w:pPr>
        <w:rPr>
          <w:color w:val="FFFFFF" w:themeColor="background1"/>
        </w:rPr>
      </w:pPr>
      <w:r w:rsidRPr="00E673F6">
        <w:rPr>
          <w:color w:val="FFFFFF" w:themeColor="background1"/>
        </w:rPr>
        <w:t xml:space="preserve">The Budget also contains two additional Economic Support payments to pensioners and other eligible recipients to drive money back into the economy. </w:t>
      </w:r>
    </w:p>
    <w:p w:rsidR="00AB4024" w:rsidRPr="00E673F6" w:rsidRDefault="00AB4024" w:rsidP="00AF053E">
      <w:pPr>
        <w:rPr>
          <w:color w:val="FFFFFF" w:themeColor="background1"/>
          <w:lang w:val="en-GB"/>
        </w:rPr>
      </w:pPr>
    </w:p>
    <w:p w:rsidR="00BA18A3" w:rsidRPr="00E673F6" w:rsidRDefault="00B044FD" w:rsidP="00BA18A3">
      <w:pPr>
        <w:rPr>
          <w:color w:val="FFFFFF" w:themeColor="background1"/>
          <w:lang w:val="en-GB"/>
        </w:rPr>
      </w:pPr>
      <w:r w:rsidRPr="00E673F6">
        <w:rPr>
          <w:color w:val="FFFFFF" w:themeColor="background1"/>
          <w:lang w:val="en-GB"/>
        </w:rPr>
        <w:t xml:space="preserve">By comparison to many, Australia has managed the COVID-19 pandemic well, but good management isn’t enough to protect us from the </w:t>
      </w:r>
      <w:r w:rsidR="005F4190" w:rsidRPr="00E673F6">
        <w:rPr>
          <w:color w:val="FFFFFF" w:themeColor="background1"/>
          <w:lang w:val="en-GB"/>
        </w:rPr>
        <w:t>$213.7 billion</w:t>
      </w:r>
      <w:r w:rsidRPr="00E673F6">
        <w:rPr>
          <w:color w:val="FFFFFF" w:themeColor="background1"/>
          <w:lang w:val="en-GB"/>
        </w:rPr>
        <w:t xml:space="preserve"> deficit</w:t>
      </w:r>
      <w:r w:rsidR="005F4190" w:rsidRPr="00E673F6">
        <w:rPr>
          <w:color w:val="FFFFFF" w:themeColor="background1"/>
          <w:lang w:val="en-GB"/>
        </w:rPr>
        <w:t xml:space="preserve"> in 2020-21</w:t>
      </w:r>
      <w:r w:rsidRPr="00E673F6">
        <w:rPr>
          <w:color w:val="FFFFFF" w:themeColor="background1"/>
          <w:lang w:val="en-GB"/>
        </w:rPr>
        <w:t>.</w:t>
      </w:r>
      <w:r w:rsidR="00BA18A3" w:rsidRPr="00E673F6">
        <w:rPr>
          <w:color w:val="FFFFFF" w:themeColor="background1"/>
          <w:lang w:val="en-GB"/>
        </w:rPr>
        <w:t xml:space="preserve"> The Government </w:t>
      </w:r>
      <w:r w:rsidR="00345A89">
        <w:rPr>
          <w:color w:val="FFFFFF" w:themeColor="background1"/>
          <w:lang w:val="en-GB"/>
        </w:rPr>
        <w:t>has</w:t>
      </w:r>
      <w:r w:rsidR="00BA18A3" w:rsidRPr="00E673F6">
        <w:rPr>
          <w:color w:val="FFFFFF" w:themeColor="background1"/>
          <w:lang w:val="en-GB"/>
        </w:rPr>
        <w:t xml:space="preserve"> taken to heart the old adage, “You have to spend money to make money” to trade our way out of a black hole.</w:t>
      </w:r>
    </w:p>
    <w:p w:rsidR="00BA18A3" w:rsidRPr="00E673F6" w:rsidRDefault="00BA18A3" w:rsidP="00BA18A3">
      <w:pPr>
        <w:rPr>
          <w:color w:val="FFFFFF" w:themeColor="background1"/>
          <w:lang w:val="en-GB"/>
        </w:rPr>
      </w:pPr>
    </w:p>
    <w:p w:rsidR="00BA18A3" w:rsidRPr="00E673F6" w:rsidRDefault="00BA18A3" w:rsidP="00BA18A3">
      <w:pPr>
        <w:rPr>
          <w:color w:val="FFFFFF" w:themeColor="background1"/>
          <w:lang w:val="en-GB"/>
        </w:rPr>
      </w:pPr>
      <w:r w:rsidRPr="00E673F6">
        <w:rPr>
          <w:color w:val="FFFFFF" w:themeColor="background1"/>
          <w:lang w:val="en-GB"/>
        </w:rPr>
        <w:t>Some of the measures are aimed at addressing the harsh lesson</w:t>
      </w:r>
      <w:r w:rsidR="00CB5E8C" w:rsidRPr="00E673F6">
        <w:rPr>
          <w:color w:val="FFFFFF" w:themeColor="background1"/>
          <w:lang w:val="en-GB"/>
        </w:rPr>
        <w:t>s</w:t>
      </w:r>
      <w:r w:rsidRPr="00E673F6">
        <w:rPr>
          <w:color w:val="FFFFFF" w:themeColor="background1"/>
          <w:lang w:val="en-GB"/>
        </w:rPr>
        <w:t xml:space="preserve"> COVID-19 has taught us</w:t>
      </w:r>
      <w:r w:rsidR="00170174" w:rsidRPr="00E673F6">
        <w:rPr>
          <w:color w:val="FFFFFF" w:themeColor="background1"/>
          <w:lang w:val="en-GB"/>
        </w:rPr>
        <w:t xml:space="preserve"> and seek to </w:t>
      </w:r>
      <w:r w:rsidRPr="00E673F6">
        <w:rPr>
          <w:color w:val="FFFFFF" w:themeColor="background1"/>
          <w:lang w:val="en-GB"/>
        </w:rPr>
        <w:t>centralis</w:t>
      </w:r>
      <w:r w:rsidR="00170174" w:rsidRPr="00E673F6">
        <w:rPr>
          <w:color w:val="FFFFFF" w:themeColor="background1"/>
          <w:lang w:val="en-GB"/>
        </w:rPr>
        <w:t>e</w:t>
      </w:r>
      <w:r w:rsidRPr="00E673F6">
        <w:rPr>
          <w:color w:val="FFFFFF" w:themeColor="background1"/>
          <w:lang w:val="en-GB"/>
        </w:rPr>
        <w:t xml:space="preserve"> production back in Australia to ensure our industries can be self-reliant.</w:t>
      </w:r>
    </w:p>
    <w:p w:rsidR="00437B2F" w:rsidRPr="00E673F6" w:rsidRDefault="00437B2F" w:rsidP="00AF053E">
      <w:pPr>
        <w:rPr>
          <w:color w:val="FFFFFF" w:themeColor="background1"/>
          <w:lang w:val="en-GB"/>
        </w:rPr>
      </w:pPr>
    </w:p>
    <w:p w:rsidR="00437B2F" w:rsidRPr="00E673F6" w:rsidRDefault="00437B2F" w:rsidP="00437B2F">
      <w:pPr>
        <w:rPr>
          <w:color w:val="FFFFFF" w:themeColor="background1"/>
          <w:lang w:val="en-GB"/>
        </w:rPr>
      </w:pPr>
      <w:r w:rsidRPr="00E673F6">
        <w:rPr>
          <w:color w:val="FFFFFF" w:themeColor="background1"/>
          <w:lang w:val="en-GB"/>
        </w:rPr>
        <w:t xml:space="preserve">Outside of the big ticket tax measures, what is striking about this Budget is the sheer volume of initiatives it funds - too many to itemise in this update. Many of the initiatives aim to improve how Government interacts with the community and business in particular. This funding is focussed on streamlining interaction and compliance with Government requirements and </w:t>
      </w:r>
      <w:r w:rsidRPr="00E673F6">
        <w:rPr>
          <w:color w:val="FFFFFF" w:themeColor="background1"/>
          <w:lang w:val="en-GB"/>
        </w:rPr>
        <w:t>investing in the IT infrastructure required to digitise the compliance process.</w:t>
      </w:r>
    </w:p>
    <w:p w:rsidR="00532397" w:rsidRDefault="00532397" w:rsidP="00437B2F">
      <w:pPr>
        <w:rPr>
          <w:color w:val="FFFFFF" w:themeColor="background1"/>
          <w:lang w:val="en-GB"/>
        </w:rPr>
      </w:pPr>
    </w:p>
    <w:p w:rsidR="00ED7D52" w:rsidRDefault="00532397" w:rsidP="00437B2F">
      <w:pPr>
        <w:rPr>
          <w:color w:val="FFFFFF" w:themeColor="background1"/>
          <w:lang w:val="en-GB"/>
        </w:rPr>
      </w:pPr>
      <w:r w:rsidRPr="00532397">
        <w:rPr>
          <w:color w:val="FFFFFF" w:themeColor="background1"/>
          <w:lang w:val="en-GB"/>
        </w:rPr>
        <w:t>The final comments in the Treasurer’s Budget speech paint a cautionary tale. The focus right now is on the path to growth and stabilising debt in an effort to boost consumer and business confidence. However, once “recovery has taken hold and the unemployment rate is on a clear path back to pre-crisis levels” of below 6%, the second phase will kick in - the deliberate shift from providing temporary and targeted support to stabilising debt.</w:t>
      </w:r>
    </w:p>
    <w:p w:rsidR="00E673F6" w:rsidRDefault="00E673F6" w:rsidP="00437B2F">
      <w:pPr>
        <w:rPr>
          <w:color w:val="FFFFFF" w:themeColor="background1"/>
          <w:lang w:val="en-GB"/>
        </w:rPr>
      </w:pPr>
    </w:p>
    <w:p w:rsidR="00E673F6" w:rsidRPr="00A92003" w:rsidRDefault="002059ED" w:rsidP="00437B2F">
      <w:pPr>
        <w:rPr>
          <w:color w:val="FF0000"/>
          <w:lang w:val="en-GB"/>
        </w:rPr>
      </w:pPr>
      <w:r w:rsidRPr="00A92003">
        <w:rPr>
          <w:color w:val="FF0000"/>
          <w:lang w:val="en-GB"/>
        </w:rPr>
        <w:t>Firm name</w:t>
      </w:r>
    </w:p>
    <w:p w:rsidR="002059ED" w:rsidRPr="00A92003" w:rsidRDefault="002059ED" w:rsidP="00437B2F">
      <w:pPr>
        <w:rPr>
          <w:b/>
          <w:bCs/>
          <w:color w:val="FF0000"/>
          <w:sz w:val="20"/>
          <w:szCs w:val="20"/>
          <w:lang w:val="en-GB"/>
        </w:rPr>
      </w:pPr>
      <w:r w:rsidRPr="00A92003">
        <w:rPr>
          <w:color w:val="FF0000"/>
          <w:lang w:val="en-GB"/>
        </w:rPr>
        <w:t>Contact details</w:t>
      </w: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437B2F">
      <w:pPr>
        <w:rPr>
          <w:lang w:val="en-GB"/>
        </w:rPr>
      </w:pPr>
    </w:p>
    <w:p w:rsidR="00AF0F3D" w:rsidRDefault="00AF0F3D" w:rsidP="00AF053E">
      <w:pPr>
        <w:rPr>
          <w:lang w:val="en-GB"/>
        </w:rPr>
      </w:pPr>
    </w:p>
    <w:p w:rsidR="00AF0F3D" w:rsidRDefault="00AF0F3D" w:rsidP="00AF053E">
      <w:pPr>
        <w:rPr>
          <w:lang w:val="en-GB"/>
        </w:rPr>
      </w:pPr>
    </w:p>
    <w:p w:rsidR="00AF0F3D" w:rsidRDefault="00AF0F3D" w:rsidP="00AF053E">
      <w:pPr>
        <w:rPr>
          <w:lang w:val="en-GB"/>
        </w:rPr>
        <w:sectPr w:rsidR="00AF0F3D" w:rsidSect="00AF0F3D">
          <w:type w:val="continuous"/>
          <w:pgSz w:w="11906" w:h="16838" w:code="9"/>
          <w:pgMar w:top="1985" w:right="1416" w:bottom="1134" w:left="1418" w:header="709" w:footer="567" w:gutter="0"/>
          <w:cols w:num="2" w:space="708"/>
          <w:titlePg/>
          <w:docGrid w:linePitch="360"/>
        </w:sectPr>
      </w:pPr>
    </w:p>
    <w:p w:rsidR="00437B2F" w:rsidRDefault="00437B2F" w:rsidP="00AF053E">
      <w:pPr>
        <w:rPr>
          <w:lang w:val="en-GB"/>
        </w:rPr>
      </w:pPr>
    </w:p>
    <w:p w:rsidR="001A35D5" w:rsidRDefault="001A35D5" w:rsidP="00AF053E">
      <w:pPr>
        <w:rPr>
          <w:lang w:val="en-GB"/>
        </w:rPr>
      </w:pPr>
    </w:p>
    <w:p w:rsidR="00706AD8" w:rsidRPr="00FF0647" w:rsidRDefault="005F3D62" w:rsidP="007146F3">
      <w:pPr>
        <w:pStyle w:val="Heading1"/>
        <w:rPr>
          <w:lang w:val="en-GB"/>
        </w:rPr>
      </w:pPr>
      <w:bookmarkStart w:id="1" w:name="_Toc52955428"/>
      <w:r w:rsidRPr="00FF0647">
        <w:rPr>
          <w:lang w:val="en-GB"/>
        </w:rPr>
        <w:lastRenderedPageBreak/>
        <w:t xml:space="preserve">For </w:t>
      </w:r>
      <w:r w:rsidR="00F948EE">
        <w:rPr>
          <w:lang w:val="en-GB"/>
        </w:rPr>
        <w:t>Y</w:t>
      </w:r>
      <w:r w:rsidRPr="00FF0647">
        <w:rPr>
          <w:lang w:val="en-GB"/>
        </w:rPr>
        <w:t>ou</w:t>
      </w:r>
      <w:bookmarkEnd w:id="1"/>
    </w:p>
    <w:p w:rsidR="00615463" w:rsidRPr="00AF0F3D" w:rsidRDefault="00615463" w:rsidP="00AF0F3D">
      <w:pPr>
        <w:pStyle w:val="Heading2"/>
      </w:pPr>
      <w:bookmarkStart w:id="2" w:name="_Toc52955429"/>
      <w:r w:rsidRPr="00AF0F3D">
        <w:t>Personal income tax cuts</w:t>
      </w:r>
      <w:bookmarkEnd w:id="2"/>
    </w:p>
    <w:tbl>
      <w:tblPr>
        <w:tblStyle w:val="TableContemporary"/>
        <w:tblW w:w="0" w:type="auto"/>
        <w:tblLook w:val="0400" w:firstRow="0" w:lastRow="0" w:firstColumn="0" w:lastColumn="0" w:noHBand="0" w:noVBand="1"/>
      </w:tblPr>
      <w:tblGrid>
        <w:gridCol w:w="2830"/>
        <w:gridCol w:w="6232"/>
      </w:tblGrid>
      <w:tr w:rsidR="00615463" w:rsidRPr="00FF0647" w:rsidTr="00AA657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615463" w:rsidRPr="00FF0647" w:rsidRDefault="00615463" w:rsidP="00AA6572">
            <w:pPr>
              <w:rPr>
                <w:b/>
                <w:bCs/>
                <w:sz w:val="20"/>
                <w:lang w:val="en-GB"/>
              </w:rPr>
            </w:pPr>
            <w:r w:rsidRPr="00FF0647">
              <w:rPr>
                <w:b/>
                <w:bCs/>
                <w:sz w:val="20"/>
                <w:lang w:val="en-GB"/>
              </w:rPr>
              <w:t>Date of effect</w:t>
            </w:r>
          </w:p>
        </w:tc>
        <w:tc>
          <w:tcPr>
            <w:tcW w:w="6232" w:type="dxa"/>
            <w:shd w:val="clear" w:color="auto" w:fill="FFFFFF" w:themeFill="background1"/>
            <w:vAlign w:val="center"/>
          </w:tcPr>
          <w:p w:rsidR="00615463" w:rsidRPr="00FF0647" w:rsidRDefault="00615463" w:rsidP="00AA6572">
            <w:pPr>
              <w:rPr>
                <w:sz w:val="20"/>
                <w:lang w:val="en-GB"/>
              </w:rPr>
            </w:pPr>
            <w:r w:rsidRPr="00FF0647">
              <w:rPr>
                <w:sz w:val="20"/>
                <w:lang w:val="en-GB"/>
              </w:rPr>
              <w:t>1 July 2020</w:t>
            </w:r>
          </w:p>
        </w:tc>
      </w:tr>
    </w:tbl>
    <w:p w:rsidR="00615463" w:rsidRPr="00FF0647" w:rsidRDefault="00615463" w:rsidP="00615463">
      <w:pPr>
        <w:rPr>
          <w:lang w:val="en-GB"/>
        </w:rPr>
      </w:pPr>
    </w:p>
    <w:p w:rsidR="00615463" w:rsidRPr="00FF0647" w:rsidRDefault="00AD19FF" w:rsidP="00615463">
      <w:pPr>
        <w:rPr>
          <w:lang w:val="en-GB"/>
        </w:rPr>
      </w:pPr>
      <w:r>
        <w:rPr>
          <w:noProof/>
          <w:lang w:val="en-GB"/>
        </w:rPr>
        <mc:AlternateContent>
          <mc:Choice Requires="wps">
            <w:drawing>
              <wp:anchor distT="0" distB="0" distL="114300" distR="114300" simplePos="0" relativeHeight="251781630" behindDoc="1" locked="0" layoutInCell="1" allowOverlap="1">
                <wp:simplePos x="0" y="0"/>
                <wp:positionH relativeFrom="column">
                  <wp:posOffset>-71755</wp:posOffset>
                </wp:positionH>
                <wp:positionV relativeFrom="paragraph">
                  <wp:posOffset>253841</wp:posOffset>
                </wp:positionV>
                <wp:extent cx="1721485" cy="1950085"/>
                <wp:effectExtent l="0" t="0" r="5715" b="5715"/>
                <wp:wrapSquare wrapText="bothSides"/>
                <wp:docPr id="3" name="Text Box 3"/>
                <wp:cNvGraphicFramePr/>
                <a:graphic xmlns:a="http://schemas.openxmlformats.org/drawingml/2006/main">
                  <a:graphicData uri="http://schemas.microsoft.com/office/word/2010/wordprocessingShape">
                    <wps:wsp>
                      <wps:cNvSpPr txBox="1"/>
                      <wps:spPr>
                        <a:xfrm>
                          <a:off x="0" y="0"/>
                          <a:ext cx="1721485" cy="1950085"/>
                        </a:xfrm>
                        <a:prstGeom prst="rect">
                          <a:avLst/>
                        </a:prstGeom>
                        <a:solidFill>
                          <a:srgbClr val="E7F6FD"/>
                        </a:solidFill>
                        <a:ln w="6350">
                          <a:noFill/>
                        </a:ln>
                      </wps:spPr>
                      <wps:txbx>
                        <w:txbxContent>
                          <w:p w:rsidR="00F319A3" w:rsidRDefault="00F319A3" w:rsidP="00B37F26">
                            <w:pPr>
                              <w:pBdr>
                                <w:right w:val="single" w:sz="4" w:space="4" w:color="E7F6FD"/>
                              </w:pBdr>
                              <w:ind w:right="151"/>
                              <w:rPr>
                                <w:b/>
                                <w:bCs/>
                                <w:i/>
                                <w:iCs/>
                                <w:color w:val="34B6E4"/>
                                <w:sz w:val="28"/>
                                <w:szCs w:val="28"/>
                              </w:rPr>
                            </w:pPr>
                            <w:r w:rsidRPr="005122DC">
                              <w:rPr>
                                <w:b/>
                                <w:bCs/>
                                <w:i/>
                                <w:iCs/>
                                <w:sz w:val="28"/>
                                <w:szCs w:val="28"/>
                              </w:rPr>
                              <w:t>More than 11 million taxpayers will get a tax cut backdated to 1 July this year.</w:t>
                            </w:r>
                            <w:r w:rsidRPr="005122DC">
                              <w:rPr>
                                <w:b/>
                                <w:bCs/>
                                <w:i/>
                                <w:iCs/>
                                <w:color w:val="34B6E4"/>
                                <w:sz w:val="28"/>
                                <w:szCs w:val="28"/>
                              </w:rPr>
                              <w:t>”</w:t>
                            </w:r>
                          </w:p>
                          <w:p w:rsidR="00AD19FF" w:rsidRPr="00AD19FF" w:rsidRDefault="00AD19FF" w:rsidP="00AD19FF">
                            <w:pPr>
                              <w:pBdr>
                                <w:right w:val="single" w:sz="4" w:space="4" w:color="E7F6FD"/>
                              </w:pBdr>
                              <w:spacing w:line="240" w:lineRule="auto"/>
                              <w:ind w:right="151"/>
                              <w:rPr>
                                <w:i/>
                                <w:iCs/>
                                <w:sz w:val="18"/>
                                <w:szCs w:val="18"/>
                              </w:rPr>
                            </w:pPr>
                            <w:r>
                              <w:rPr>
                                <w:i/>
                                <w:iCs/>
                                <w:color w:val="34B6E4"/>
                                <w:sz w:val="18"/>
                                <w:szCs w:val="18"/>
                              </w:rPr>
                              <w:t xml:space="preserve">Treasurer the Hon Josh Frydenberg, </w:t>
                            </w:r>
                            <w:r w:rsidRPr="00AD19FF">
                              <w:rPr>
                                <w:i/>
                                <w:iCs/>
                                <w:color w:val="34B6E4"/>
                                <w:sz w:val="18"/>
                                <w:szCs w:val="18"/>
                              </w:rPr>
                              <w:t>Budget Speech</w:t>
                            </w:r>
                            <w:r>
                              <w:rPr>
                                <w:i/>
                                <w:iCs/>
                                <w:color w:val="34B6E4"/>
                                <w:sz w:val="18"/>
                                <w:szCs w:val="18"/>
                              </w:rPr>
                              <w:t xml:space="preserve"> 2020-21</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65pt;margin-top:20pt;width:135.55pt;height:153.55pt;z-index:-251534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" fillcolor="#e7f6fd" stroked="f" strokeweight=".5pt">
                <v:textbox inset=",5mm">
                  <w:txbxContent>
                    <w:p w:rsidR="00F319A3" w:rsidRDefault="00F319A3" w:rsidP="00B37F26">
                      <w:pPr>
                        <w:pBdr>
                          <w:right w:val="single" w:sz="4" w:space="4" w:color="E7F6FD"/>
                        </w:pBdr>
                        <w:ind w:right="151"/>
                        <w:rPr>
                          <w:b/>
                          <w:bCs/>
                          <w:i/>
                          <w:iCs/>
                          <w:color w:val="34B6E4"/>
                          <w:sz w:val="28"/>
                          <w:szCs w:val="28"/>
                        </w:rPr>
                      </w:pPr>
                      <w:r w:rsidRPr="005122DC">
                        <w:rPr>
                          <w:b/>
                          <w:bCs/>
                          <w:i/>
                          <w:iCs/>
                          <w:sz w:val="28"/>
                          <w:szCs w:val="28"/>
                        </w:rPr>
                        <w:t>More than 11 million taxpayers will get a tax cut backdated to 1 July this year.</w:t>
                      </w:r>
                      <w:r w:rsidRPr="005122DC">
                        <w:rPr>
                          <w:b/>
                          <w:bCs/>
                          <w:i/>
                          <w:iCs/>
                          <w:color w:val="34B6E4"/>
                          <w:sz w:val="28"/>
                          <w:szCs w:val="28"/>
                        </w:rPr>
                        <w:t>”</w:t>
                      </w:r>
                    </w:p>
                    <w:p w:rsidR="00AD19FF" w:rsidRPr="00AD19FF" w:rsidRDefault="00AD19FF" w:rsidP="00AD19FF">
                      <w:pPr>
                        <w:pBdr>
                          <w:right w:val="single" w:sz="4" w:space="4" w:color="E7F6FD"/>
                        </w:pBdr>
                        <w:spacing w:line="240" w:lineRule="auto"/>
                        <w:ind w:right="151"/>
                        <w:rPr>
                          <w:i/>
                          <w:iCs/>
                          <w:sz w:val="18"/>
                          <w:szCs w:val="18"/>
                        </w:rPr>
                      </w:pPr>
                      <w:r>
                        <w:rPr>
                          <w:i/>
                          <w:iCs/>
                          <w:color w:val="34B6E4"/>
                          <w:sz w:val="18"/>
                          <w:szCs w:val="18"/>
                        </w:rPr>
                        <w:t xml:space="preserve">Treasurer the Hon Josh Frydenberg, </w:t>
                      </w:r>
                      <w:r w:rsidRPr="00AD19FF">
                        <w:rPr>
                          <w:i/>
                          <w:iCs/>
                          <w:color w:val="34B6E4"/>
                          <w:sz w:val="18"/>
                          <w:szCs w:val="18"/>
                        </w:rPr>
                        <w:t>Budget Speech</w:t>
                      </w:r>
                      <w:r>
                        <w:rPr>
                          <w:i/>
                          <w:iCs/>
                          <w:color w:val="34B6E4"/>
                          <w:sz w:val="18"/>
                          <w:szCs w:val="18"/>
                        </w:rPr>
                        <w:t xml:space="preserve"> 2020-21</w:t>
                      </w:r>
                    </w:p>
                  </w:txbxContent>
                </v:textbox>
                <w10:wrap type="square"/>
              </v:shape>
            </w:pict>
          </mc:Fallback>
        </mc:AlternateContent>
      </w:r>
      <w:r w:rsidR="00615463" w:rsidRPr="00FF0647">
        <w:rPr>
          <w:lang w:val="en-GB"/>
        </w:rPr>
        <w:t xml:space="preserve">As widely predicted, the Government has brought forward </w:t>
      </w:r>
      <w:r w:rsidR="00AA6572" w:rsidRPr="00FF0647">
        <w:rPr>
          <w:lang w:val="en-GB"/>
        </w:rPr>
        <w:t>stage 2 of its</w:t>
      </w:r>
      <w:r w:rsidR="00615463" w:rsidRPr="00FF0647">
        <w:rPr>
          <w:lang w:val="en-GB"/>
        </w:rPr>
        <w:t xml:space="preserve"> planned income tax cuts by </w:t>
      </w:r>
      <w:r w:rsidR="003671AA" w:rsidRPr="00FF0647">
        <w:rPr>
          <w:lang w:val="en-GB"/>
        </w:rPr>
        <w:t>two</w:t>
      </w:r>
      <w:r w:rsidR="00615463" w:rsidRPr="00FF0647">
        <w:rPr>
          <w:lang w:val="en-GB"/>
        </w:rPr>
        <w:t xml:space="preserve"> years. Originally </w:t>
      </w:r>
      <w:r w:rsidR="00EE39B2" w:rsidRPr="00FF0647">
        <w:rPr>
          <w:lang w:val="en-GB"/>
        </w:rPr>
        <w:t>intended to apply from 1 July 2022, the tax cuts will come into effect from 1 July 2020</w:t>
      </w:r>
      <w:r w:rsidR="00BF0B7E" w:rsidRPr="00FF0647">
        <w:rPr>
          <w:lang w:val="en-GB"/>
        </w:rPr>
        <w:t xml:space="preserve"> (subject to the passage of the legislation)</w:t>
      </w:r>
      <w:r w:rsidR="00EE39B2" w:rsidRPr="00FF0647">
        <w:rPr>
          <w:lang w:val="en-GB"/>
        </w:rPr>
        <w:t>.</w:t>
      </w:r>
    </w:p>
    <w:p w:rsidR="00A46993" w:rsidRPr="00FF0647" w:rsidRDefault="00A46993" w:rsidP="00615463">
      <w:pPr>
        <w:rPr>
          <w:lang w:val="en-GB"/>
        </w:rPr>
      </w:pPr>
    </w:p>
    <w:p w:rsidR="00A46993" w:rsidRPr="00FF0647" w:rsidRDefault="009B1257" w:rsidP="00A46993">
      <w:pPr>
        <w:rPr>
          <w:lang w:val="en-GB"/>
        </w:rPr>
      </w:pPr>
      <w:r w:rsidRPr="00FF0647">
        <w:rPr>
          <w:lang w:val="en-GB"/>
        </w:rPr>
        <w:t>At a cost of $17.8 billion over the forward estimates, b</w:t>
      </w:r>
      <w:r w:rsidR="00A46993" w:rsidRPr="00FF0647">
        <w:rPr>
          <w:lang w:val="en-GB"/>
        </w:rPr>
        <w:t xml:space="preserve">ringing forward the tax cuts is a controversial move. The Government argues that the </w:t>
      </w:r>
      <w:r w:rsidR="005E2FA8" w:rsidRPr="00FF0647">
        <w:rPr>
          <w:lang w:val="en-GB"/>
        </w:rPr>
        <w:t xml:space="preserve">measure </w:t>
      </w:r>
      <w:r w:rsidR="00A46993" w:rsidRPr="00FF0647">
        <w:rPr>
          <w:lang w:val="en-GB"/>
        </w:rPr>
        <w:t>will “boost GDP by around $3.5 billion in 2020</w:t>
      </w:r>
      <w:r w:rsidR="00410AF1" w:rsidRPr="00FF0647">
        <w:rPr>
          <w:lang w:val="en-GB"/>
        </w:rPr>
        <w:t>-</w:t>
      </w:r>
      <w:r w:rsidR="00A46993" w:rsidRPr="00FF0647">
        <w:rPr>
          <w:lang w:val="en-GB"/>
        </w:rPr>
        <w:t>21 and $9 billion in 2021</w:t>
      </w:r>
      <w:r w:rsidR="00410AF1" w:rsidRPr="00FF0647">
        <w:rPr>
          <w:lang w:val="en-GB"/>
        </w:rPr>
        <w:t>-</w:t>
      </w:r>
      <w:r w:rsidR="00A46993" w:rsidRPr="00FF0647">
        <w:rPr>
          <w:lang w:val="en-GB"/>
        </w:rPr>
        <w:t>22 and will create an additional 50,000 jobs by the end of 2021</w:t>
      </w:r>
      <w:r w:rsidR="00410AF1" w:rsidRPr="00FF0647">
        <w:rPr>
          <w:lang w:val="en-GB"/>
        </w:rPr>
        <w:t>-</w:t>
      </w:r>
      <w:r w:rsidR="00A46993" w:rsidRPr="00FF0647">
        <w:rPr>
          <w:lang w:val="en-GB"/>
        </w:rPr>
        <w:t>22.”</w:t>
      </w:r>
      <w:r w:rsidR="00360594" w:rsidRPr="00FF0647">
        <w:rPr>
          <w:lang w:val="en-GB"/>
        </w:rPr>
        <w:t xml:space="preserve"> Others in Parliament believe the measure rewards higher income earners and the money could be better </w:t>
      </w:r>
      <w:r w:rsidR="00410AF1" w:rsidRPr="00FF0647">
        <w:rPr>
          <w:lang w:val="en-GB"/>
        </w:rPr>
        <w:t xml:space="preserve">spent </w:t>
      </w:r>
      <w:r w:rsidR="00360594" w:rsidRPr="00FF0647">
        <w:rPr>
          <w:lang w:val="en-GB"/>
        </w:rPr>
        <w:t>elsewhere. The Senate will decide whether the Government’</w:t>
      </w:r>
      <w:r w:rsidR="00DA75D4" w:rsidRPr="00FF0647">
        <w:rPr>
          <w:lang w:val="en-GB"/>
        </w:rPr>
        <w:t>s</w:t>
      </w:r>
      <w:r w:rsidR="00360594" w:rsidRPr="00FF0647">
        <w:rPr>
          <w:lang w:val="en-GB"/>
        </w:rPr>
        <w:t xml:space="preserve"> plan comes to fruition.</w:t>
      </w:r>
    </w:p>
    <w:p w:rsidR="00015E5E" w:rsidRPr="00FF0647" w:rsidRDefault="00015E5E" w:rsidP="00A46993">
      <w:pPr>
        <w:rPr>
          <w:lang w:val="en-GB"/>
        </w:rPr>
      </w:pPr>
    </w:p>
    <w:p w:rsidR="00015E5E" w:rsidRPr="00FF0647" w:rsidRDefault="00DE42C0" w:rsidP="00A46993">
      <w:pPr>
        <w:rPr>
          <w:lang w:val="en-GB"/>
        </w:rPr>
      </w:pPr>
      <w:r w:rsidRPr="00FF0647">
        <w:rPr>
          <w:lang w:val="en-GB"/>
        </w:rPr>
        <w:t>S</w:t>
      </w:r>
      <w:r w:rsidR="00015E5E" w:rsidRPr="00FF0647">
        <w:rPr>
          <w:lang w:val="en-GB"/>
        </w:rPr>
        <w:t xml:space="preserve">tage 3 </w:t>
      </w:r>
      <w:r w:rsidRPr="00FF0647">
        <w:rPr>
          <w:lang w:val="en-GB"/>
        </w:rPr>
        <w:t xml:space="preserve">of the Personal Income Tax Plan </w:t>
      </w:r>
      <w:r w:rsidR="00015E5E" w:rsidRPr="00FF0647">
        <w:rPr>
          <w:lang w:val="en-GB"/>
        </w:rPr>
        <w:t>that simplif</w:t>
      </w:r>
      <w:r w:rsidRPr="00FF0647">
        <w:rPr>
          <w:lang w:val="en-GB"/>
        </w:rPr>
        <w:t>ies</w:t>
      </w:r>
      <w:r w:rsidR="00015E5E" w:rsidRPr="00FF0647">
        <w:rPr>
          <w:lang w:val="en-GB"/>
        </w:rPr>
        <w:t xml:space="preserve"> and flatten</w:t>
      </w:r>
      <w:r w:rsidRPr="00FF0647">
        <w:rPr>
          <w:lang w:val="en-GB"/>
        </w:rPr>
        <w:t>s</w:t>
      </w:r>
      <w:r w:rsidR="00015E5E" w:rsidRPr="00FF0647">
        <w:rPr>
          <w:lang w:val="en-GB"/>
        </w:rPr>
        <w:t xml:space="preserve"> the personal income system remain</w:t>
      </w:r>
      <w:r w:rsidRPr="00FF0647">
        <w:rPr>
          <w:lang w:val="en-GB"/>
        </w:rPr>
        <w:t>s</w:t>
      </w:r>
      <w:r w:rsidR="00015E5E" w:rsidRPr="00FF0647">
        <w:rPr>
          <w:lang w:val="en-GB"/>
        </w:rPr>
        <w:t xml:space="preserve"> scheduled for 2024-25. </w:t>
      </w:r>
    </w:p>
    <w:p w:rsidR="00615463" w:rsidRPr="00FF0647" w:rsidRDefault="00615463" w:rsidP="00615463">
      <w:pPr>
        <w:rPr>
          <w:lang w:val="en-GB"/>
        </w:rPr>
      </w:pPr>
    </w:p>
    <w:tbl>
      <w:tblPr>
        <w:tblStyle w:val="PlainTable1"/>
        <w:tblW w:w="8926" w:type="dxa"/>
        <w:tblLook w:val="04A0" w:firstRow="1" w:lastRow="0" w:firstColumn="1" w:lastColumn="0" w:noHBand="0" w:noVBand="1"/>
      </w:tblPr>
      <w:tblGrid>
        <w:gridCol w:w="1413"/>
        <w:gridCol w:w="2504"/>
        <w:gridCol w:w="2504"/>
        <w:gridCol w:w="2505"/>
      </w:tblGrid>
      <w:tr w:rsidR="007F37AC" w:rsidRPr="00FF0647" w:rsidTr="00EB0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F37AC" w:rsidRPr="00FF0647" w:rsidRDefault="007F37AC" w:rsidP="006F5264">
            <w:pPr>
              <w:rPr>
                <w:sz w:val="19"/>
                <w:szCs w:val="19"/>
                <w:lang w:val="en-GB"/>
              </w:rPr>
            </w:pPr>
          </w:p>
        </w:tc>
        <w:tc>
          <w:tcPr>
            <w:tcW w:w="7513" w:type="dxa"/>
            <w:gridSpan w:val="3"/>
          </w:tcPr>
          <w:p w:rsidR="007F37AC" w:rsidRPr="00FF0647" w:rsidRDefault="007F37AC" w:rsidP="007F37AC">
            <w:pPr>
              <w:jc w:val="center"/>
              <w:cnfStyle w:val="100000000000" w:firstRow="1" w:lastRow="0" w:firstColumn="0" w:lastColumn="0" w:oddVBand="0" w:evenVBand="0" w:oddHBand="0" w:evenHBand="0" w:firstRowFirstColumn="0" w:firstRowLastColumn="0" w:lastRowFirstColumn="0" w:lastRowLastColumn="0"/>
              <w:rPr>
                <w:b w:val="0"/>
                <w:sz w:val="19"/>
                <w:szCs w:val="19"/>
                <w:lang w:val="en-GB"/>
              </w:rPr>
            </w:pPr>
            <w:r w:rsidRPr="00FF0647">
              <w:rPr>
                <w:sz w:val="19"/>
                <w:szCs w:val="19"/>
                <w:lang w:val="en-GB"/>
              </w:rPr>
              <w:t>Tax thresholds</w:t>
            </w:r>
          </w:p>
        </w:tc>
      </w:tr>
      <w:tr w:rsidR="007F37AC" w:rsidRPr="00FF0647" w:rsidTr="00EB0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Tax rate</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b/>
                <w:sz w:val="19"/>
                <w:szCs w:val="19"/>
                <w:lang w:val="en-GB"/>
              </w:rPr>
            </w:pPr>
            <w:r w:rsidRPr="00FF0647">
              <w:rPr>
                <w:b/>
                <w:sz w:val="19"/>
                <w:szCs w:val="19"/>
                <w:lang w:val="en-GB"/>
              </w:rPr>
              <w:t>Current</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b/>
                <w:sz w:val="19"/>
                <w:szCs w:val="19"/>
                <w:lang w:val="en-GB"/>
              </w:rPr>
            </w:pPr>
            <w:r w:rsidRPr="00FF0647">
              <w:rPr>
                <w:b/>
                <w:sz w:val="19"/>
                <w:szCs w:val="19"/>
                <w:lang w:val="en-GB"/>
              </w:rPr>
              <w:t>From 1 July 2</w:t>
            </w:r>
            <w:r w:rsidR="0083441D" w:rsidRPr="00FF0647">
              <w:rPr>
                <w:b/>
                <w:sz w:val="19"/>
                <w:szCs w:val="19"/>
                <w:lang w:val="en-GB"/>
              </w:rPr>
              <w:t>020</w:t>
            </w:r>
          </w:p>
        </w:tc>
        <w:tc>
          <w:tcPr>
            <w:tcW w:w="2505"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b/>
                <w:sz w:val="19"/>
                <w:szCs w:val="19"/>
                <w:lang w:val="en-GB"/>
              </w:rPr>
            </w:pPr>
            <w:r w:rsidRPr="00FF0647">
              <w:rPr>
                <w:b/>
                <w:sz w:val="19"/>
                <w:szCs w:val="19"/>
                <w:lang w:val="en-GB"/>
              </w:rPr>
              <w:t xml:space="preserve">From 1 July 2024 </w:t>
            </w:r>
          </w:p>
        </w:tc>
      </w:tr>
      <w:tr w:rsidR="007F37AC" w:rsidRPr="00FF0647" w:rsidTr="00EB0CC2">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0%</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$0 - $18,200</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$0 - $18,200</w:t>
            </w:r>
          </w:p>
        </w:tc>
        <w:tc>
          <w:tcPr>
            <w:tcW w:w="2505"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$0 - $18,200</w:t>
            </w:r>
          </w:p>
        </w:tc>
      </w:tr>
      <w:tr w:rsidR="007F37AC" w:rsidRPr="00FF0647" w:rsidTr="00EB0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19%</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$18,201 - $37,000</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 xml:space="preserve">$18,201 </w:t>
            </w:r>
            <w:r w:rsidRPr="00FF0647">
              <w:rPr>
                <w:b/>
                <w:color w:val="000000" w:themeColor="text1"/>
                <w:sz w:val="19"/>
                <w:szCs w:val="19"/>
                <w:lang w:val="en-GB"/>
              </w:rPr>
              <w:t xml:space="preserve">- </w:t>
            </w:r>
            <w:r w:rsidRPr="00FF0647">
              <w:rPr>
                <w:b/>
                <w:color w:val="E84532"/>
                <w:sz w:val="19"/>
                <w:szCs w:val="19"/>
                <w:lang w:val="en-GB"/>
              </w:rPr>
              <w:t>$45,000</w:t>
            </w:r>
          </w:p>
        </w:tc>
        <w:tc>
          <w:tcPr>
            <w:tcW w:w="2505"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$18,201 - $45,000</w:t>
            </w:r>
          </w:p>
        </w:tc>
      </w:tr>
      <w:tr w:rsidR="007F37AC" w:rsidRPr="00FF0647" w:rsidTr="00EB0CC2">
        <w:tc>
          <w:tcPr>
            <w:cnfStyle w:val="001000000000" w:firstRow="0" w:lastRow="0" w:firstColumn="1" w:lastColumn="0" w:oddVBand="0" w:evenVBand="0" w:oddHBand="0" w:evenHBand="0" w:firstRowFirstColumn="0" w:firstRowLastColumn="0" w:lastRowFirstColumn="0" w:lastRowLastColumn="0"/>
            <w:tcW w:w="1413" w:type="dxa"/>
          </w:tcPr>
          <w:p w:rsidR="007F37AC" w:rsidRPr="00FF0647" w:rsidRDefault="007F37AC" w:rsidP="006F5264">
            <w:pPr>
              <w:rPr>
                <w:sz w:val="19"/>
                <w:szCs w:val="19"/>
                <w:lang w:val="en-GB"/>
              </w:rPr>
            </w:pPr>
            <w:r w:rsidRPr="00FF0647">
              <w:rPr>
                <w:color w:val="E84532"/>
                <w:sz w:val="19"/>
                <w:szCs w:val="19"/>
                <w:lang w:val="en-GB"/>
              </w:rPr>
              <w:t>30%</w:t>
            </w:r>
          </w:p>
        </w:tc>
        <w:tc>
          <w:tcPr>
            <w:tcW w:w="2504" w:type="dxa"/>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p>
        </w:tc>
        <w:tc>
          <w:tcPr>
            <w:tcW w:w="2504" w:type="dxa"/>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b/>
                <w:color w:val="E84532"/>
                <w:sz w:val="19"/>
                <w:szCs w:val="19"/>
                <w:lang w:val="en-GB"/>
              </w:rPr>
            </w:pPr>
          </w:p>
        </w:tc>
        <w:tc>
          <w:tcPr>
            <w:tcW w:w="2505" w:type="dxa"/>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b/>
                <w:color w:val="E84532"/>
                <w:sz w:val="19"/>
                <w:szCs w:val="19"/>
                <w:lang w:val="en-GB"/>
              </w:rPr>
              <w:t>$45,001 - $200,000</w:t>
            </w:r>
          </w:p>
        </w:tc>
      </w:tr>
      <w:tr w:rsidR="007F37AC" w:rsidRPr="00FF0647" w:rsidTr="00EB0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32.5%</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$37,001 - $90,000</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b/>
                <w:color w:val="E84532"/>
                <w:sz w:val="19"/>
                <w:szCs w:val="19"/>
                <w:lang w:val="en-GB"/>
              </w:rPr>
              <w:t>$45,001</w:t>
            </w:r>
            <w:r w:rsidRPr="00FF0647">
              <w:rPr>
                <w:color w:val="E84532"/>
                <w:sz w:val="19"/>
                <w:szCs w:val="19"/>
                <w:lang w:val="en-GB"/>
              </w:rPr>
              <w:t xml:space="preserve"> </w:t>
            </w:r>
            <w:r w:rsidRPr="00FF0647">
              <w:rPr>
                <w:color w:val="000000" w:themeColor="text1"/>
                <w:sz w:val="19"/>
                <w:szCs w:val="19"/>
                <w:lang w:val="en-GB"/>
              </w:rPr>
              <w:t xml:space="preserve">- </w:t>
            </w:r>
            <w:r w:rsidRPr="00FF0647">
              <w:rPr>
                <w:b/>
                <w:bCs/>
                <w:color w:val="FF0000"/>
                <w:sz w:val="19"/>
                <w:szCs w:val="19"/>
                <w:lang w:val="en-GB"/>
              </w:rPr>
              <w:t>$120,000</w:t>
            </w:r>
          </w:p>
        </w:tc>
        <w:tc>
          <w:tcPr>
            <w:tcW w:w="2505"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p>
        </w:tc>
      </w:tr>
      <w:tr w:rsidR="007F37AC" w:rsidRPr="00FF0647" w:rsidTr="00EB0CC2">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37%</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$90,001 - $180,000</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$120,001 - $180,000</w:t>
            </w:r>
          </w:p>
        </w:tc>
        <w:tc>
          <w:tcPr>
            <w:tcW w:w="2505"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w:t>
            </w:r>
          </w:p>
        </w:tc>
      </w:tr>
      <w:tr w:rsidR="007F37AC" w:rsidRPr="00FF0647" w:rsidTr="00EB0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45%</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&gt;$180,000</w:t>
            </w:r>
          </w:p>
        </w:tc>
        <w:tc>
          <w:tcPr>
            <w:tcW w:w="2504"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&gt;$180,000</w:t>
            </w:r>
          </w:p>
        </w:tc>
        <w:tc>
          <w:tcPr>
            <w:tcW w:w="2505" w:type="dxa"/>
            <w:hideMark/>
          </w:tcPr>
          <w:p w:rsidR="007F37AC" w:rsidRPr="00FF0647" w:rsidRDefault="007F37AC" w:rsidP="006F5264">
            <w:pPr>
              <w:cnfStyle w:val="000000100000" w:firstRow="0" w:lastRow="0" w:firstColumn="0" w:lastColumn="0" w:oddVBand="0" w:evenVBand="0" w:oddHBand="1"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&gt;$200,000</w:t>
            </w:r>
          </w:p>
        </w:tc>
      </w:tr>
      <w:tr w:rsidR="007F37AC" w:rsidRPr="00FF0647" w:rsidTr="00EB0CC2">
        <w:tc>
          <w:tcPr>
            <w:cnfStyle w:val="001000000000" w:firstRow="0" w:lastRow="0" w:firstColumn="1" w:lastColumn="0" w:oddVBand="0" w:evenVBand="0" w:oddHBand="0" w:evenHBand="0" w:firstRowFirstColumn="0" w:firstRowLastColumn="0" w:lastRowFirstColumn="0" w:lastRowLastColumn="0"/>
            <w:tcW w:w="1413" w:type="dxa"/>
            <w:hideMark/>
          </w:tcPr>
          <w:p w:rsidR="007F37AC" w:rsidRPr="00FF0647" w:rsidRDefault="007F37AC" w:rsidP="006F5264">
            <w:pPr>
              <w:rPr>
                <w:sz w:val="19"/>
                <w:szCs w:val="19"/>
                <w:lang w:val="en-GB"/>
              </w:rPr>
            </w:pPr>
            <w:r w:rsidRPr="00FF0647">
              <w:rPr>
                <w:sz w:val="19"/>
                <w:szCs w:val="19"/>
                <w:lang w:val="en-GB"/>
              </w:rPr>
              <w:t>LITO</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color w:val="000000" w:themeColor="text1"/>
                <w:sz w:val="19"/>
                <w:szCs w:val="19"/>
                <w:lang w:val="en-GB"/>
              </w:rPr>
            </w:pPr>
            <w:r w:rsidRPr="00FF0647">
              <w:rPr>
                <w:color w:val="000000" w:themeColor="text1"/>
                <w:sz w:val="19"/>
                <w:szCs w:val="19"/>
                <w:lang w:val="en-GB"/>
              </w:rPr>
              <w:t>Up to $445</w:t>
            </w:r>
          </w:p>
        </w:tc>
        <w:tc>
          <w:tcPr>
            <w:tcW w:w="2504"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b/>
                <w:color w:val="E84532"/>
                <w:sz w:val="19"/>
                <w:szCs w:val="19"/>
                <w:lang w:val="en-GB"/>
              </w:rPr>
            </w:pPr>
            <w:r w:rsidRPr="00FF0647">
              <w:rPr>
                <w:b/>
                <w:color w:val="E84532"/>
                <w:sz w:val="19"/>
                <w:szCs w:val="19"/>
                <w:lang w:val="en-GB"/>
              </w:rPr>
              <w:t>Up to $700</w:t>
            </w:r>
          </w:p>
        </w:tc>
        <w:tc>
          <w:tcPr>
            <w:tcW w:w="2505" w:type="dxa"/>
            <w:hideMark/>
          </w:tcPr>
          <w:p w:rsidR="007F37AC" w:rsidRPr="00FF0647" w:rsidRDefault="007F37AC" w:rsidP="006F5264">
            <w:pPr>
              <w:cnfStyle w:val="000000000000" w:firstRow="0" w:lastRow="0" w:firstColumn="0" w:lastColumn="0" w:oddVBand="0" w:evenVBand="0" w:oddHBand="0" w:evenHBand="0" w:firstRowFirstColumn="0" w:firstRowLastColumn="0" w:lastRowFirstColumn="0" w:lastRowLastColumn="0"/>
              <w:rPr>
                <w:bCs/>
                <w:color w:val="000000" w:themeColor="text1"/>
                <w:sz w:val="19"/>
                <w:szCs w:val="19"/>
                <w:lang w:val="en-GB"/>
              </w:rPr>
            </w:pPr>
            <w:r w:rsidRPr="00FF0647">
              <w:rPr>
                <w:bCs/>
                <w:color w:val="000000" w:themeColor="text1"/>
                <w:sz w:val="19"/>
                <w:szCs w:val="19"/>
                <w:lang w:val="en-GB"/>
              </w:rPr>
              <w:t>Up to $700</w:t>
            </w:r>
          </w:p>
        </w:tc>
      </w:tr>
    </w:tbl>
    <w:p w:rsidR="00633E39" w:rsidRPr="00FF0647" w:rsidRDefault="00633E39" w:rsidP="00633E39">
      <w:pPr>
        <w:rPr>
          <w:lang w:val="en-GB"/>
        </w:rPr>
      </w:pPr>
    </w:p>
    <w:p w:rsidR="00633E39" w:rsidRPr="00FF0647" w:rsidRDefault="00EB0CC2" w:rsidP="00633E39">
      <w:pPr>
        <w:rPr>
          <w:lang w:val="en-GB"/>
        </w:rPr>
      </w:pPr>
      <w:r w:rsidRPr="00FF0647">
        <w:rPr>
          <w:lang w:val="en-GB"/>
        </w:rPr>
        <w:t>Brin</w:t>
      </w:r>
      <w:r w:rsidR="00D10503" w:rsidRPr="00FF0647">
        <w:rPr>
          <w:lang w:val="en-GB"/>
        </w:rPr>
        <w:t>g</w:t>
      </w:r>
      <w:r w:rsidRPr="00FF0647">
        <w:rPr>
          <w:lang w:val="en-GB"/>
        </w:rPr>
        <w:t>ing forward the personal income tax plan will:</w:t>
      </w:r>
    </w:p>
    <w:p w:rsidR="009B1257" w:rsidRPr="00FF0647" w:rsidRDefault="009B1257" w:rsidP="00633E39">
      <w:pPr>
        <w:rPr>
          <w:lang w:val="en-GB"/>
        </w:rPr>
      </w:pPr>
    </w:p>
    <w:p w:rsidR="00D10503" w:rsidRPr="00FF0647" w:rsidRDefault="00D10503" w:rsidP="00D10503">
      <w:pPr>
        <w:pStyle w:val="ListParagraph"/>
      </w:pPr>
      <w:r w:rsidRPr="00FF0647">
        <w:t xml:space="preserve">Increase the top threshold of the 19% tax </w:t>
      </w:r>
      <w:r w:rsidR="0010673C" w:rsidRPr="00FF0647">
        <w:t>bracket</w:t>
      </w:r>
      <w:r w:rsidRPr="00FF0647">
        <w:t xml:space="preserve"> to $45,000 (from $37,000)</w:t>
      </w:r>
    </w:p>
    <w:p w:rsidR="00D10503" w:rsidRPr="00FF0647" w:rsidRDefault="00D10503" w:rsidP="00D10503">
      <w:pPr>
        <w:pStyle w:val="ListParagraph"/>
      </w:pPr>
      <w:r w:rsidRPr="00FF0647">
        <w:t xml:space="preserve">Increase the top threshold of the </w:t>
      </w:r>
      <w:r w:rsidR="0010673C" w:rsidRPr="00FF0647">
        <w:t>32.5% tax bracket to $120,000 (from $90,000)</w:t>
      </w:r>
    </w:p>
    <w:p w:rsidR="00D10503" w:rsidRPr="00FF0647" w:rsidRDefault="00D10503" w:rsidP="00D10503">
      <w:pPr>
        <w:pStyle w:val="ListParagraph"/>
      </w:pPr>
      <w:r w:rsidRPr="00FF0647">
        <w:t>Increase the low income tax offset from $445 to $700</w:t>
      </w:r>
    </w:p>
    <w:p w:rsidR="002460B2" w:rsidRPr="00FF0647" w:rsidRDefault="002460B2" w:rsidP="002460B2">
      <w:pPr>
        <w:rPr>
          <w:lang w:val="en-GB"/>
        </w:rPr>
      </w:pPr>
    </w:p>
    <w:p w:rsidR="00855368" w:rsidRDefault="004A22A6" w:rsidP="00855368">
      <w:pPr>
        <w:rPr>
          <w:lang w:val="en-GB"/>
        </w:rPr>
      </w:pPr>
      <w:r w:rsidRPr="004A22A6">
        <w:rPr>
          <w:lang w:val="en-GB"/>
        </w:rPr>
        <w:t>In addition, the LMITO (low and middle income tax offset), which provides a reduction in tax of up to $1,080 for individuals with a taxable income of up to $126,000, will be retained for 2020-21. This measure was to be removed at the commencement of stage 2 of the reforms from 2022-</w:t>
      </w:r>
      <w:r>
        <w:rPr>
          <w:lang w:val="en-GB"/>
        </w:rPr>
        <w:t>23.</w:t>
      </w:r>
    </w:p>
    <w:p w:rsidR="006A778C" w:rsidRDefault="006A778C" w:rsidP="00855368">
      <w:pPr>
        <w:rPr>
          <w:lang w:val="en-GB"/>
        </w:rPr>
      </w:pPr>
    </w:p>
    <w:p w:rsidR="006A778C" w:rsidRDefault="006A778C" w:rsidP="00855368">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14" w:history="1">
        <w:r w:rsidRPr="006A778C">
          <w:rPr>
            <w:rStyle w:val="Hyperlink"/>
            <w:lang w:val="en-GB"/>
          </w:rPr>
          <w:t>Tax relief to back hard-working Australians and to create more jobs</w:t>
        </w:r>
      </w:hyperlink>
    </w:p>
    <w:p w:rsidR="00251B1A" w:rsidRDefault="00251B1A">
      <w:pPr>
        <w:spacing w:after="200"/>
        <w:rPr>
          <w:rFonts w:eastAsiaTheme="majorEastAsia" w:cstheme="majorBidi"/>
          <w:bCs/>
          <w:color w:val="7F7F7F" w:themeColor="text1" w:themeTint="80"/>
          <w:sz w:val="32"/>
          <w:szCs w:val="26"/>
          <w:lang w:val="en-GB"/>
        </w:rPr>
      </w:pPr>
      <w:r>
        <w:rPr>
          <w:lang w:val="en-GB"/>
        </w:rPr>
        <w:br w:type="page"/>
      </w:r>
    </w:p>
    <w:p w:rsidR="00855368" w:rsidRDefault="00855368" w:rsidP="007146F3">
      <w:pPr>
        <w:pStyle w:val="Heading2"/>
        <w:rPr>
          <w:lang w:val="en-GB"/>
        </w:rPr>
      </w:pPr>
      <w:bookmarkStart w:id="3" w:name="_Toc52955430"/>
      <w:r>
        <w:rPr>
          <w:lang w:val="en-GB"/>
        </w:rPr>
        <w:lastRenderedPageBreak/>
        <w:t>$250 economic support payments</w:t>
      </w:r>
      <w:bookmarkEnd w:id="3"/>
    </w:p>
    <w:tbl>
      <w:tblPr>
        <w:tblStyle w:val="TableContemporary"/>
        <w:tblW w:w="0" w:type="auto"/>
        <w:tblLook w:val="0400" w:firstRow="0" w:lastRow="0" w:firstColumn="0" w:lastColumn="0" w:noHBand="0" w:noVBand="1"/>
      </w:tblPr>
      <w:tblGrid>
        <w:gridCol w:w="2830"/>
        <w:gridCol w:w="6232"/>
      </w:tblGrid>
      <w:tr w:rsidR="00855368" w:rsidRPr="00FF0647" w:rsidTr="00BD3FB8">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855368" w:rsidRPr="00FF0647" w:rsidRDefault="00855368" w:rsidP="00BD3FB8">
            <w:pPr>
              <w:rPr>
                <w:b/>
                <w:bCs/>
                <w:sz w:val="20"/>
                <w:lang w:val="en-GB"/>
              </w:rPr>
            </w:pPr>
            <w:r w:rsidRPr="00FF0647">
              <w:rPr>
                <w:b/>
                <w:bCs/>
                <w:sz w:val="20"/>
                <w:lang w:val="en-GB"/>
              </w:rPr>
              <w:t>Date of effect</w:t>
            </w:r>
          </w:p>
        </w:tc>
        <w:tc>
          <w:tcPr>
            <w:tcW w:w="6232" w:type="dxa"/>
            <w:shd w:val="clear" w:color="auto" w:fill="FFFFFF" w:themeFill="background1"/>
            <w:vAlign w:val="center"/>
          </w:tcPr>
          <w:p w:rsidR="00EB6CCE" w:rsidRPr="00FF0647" w:rsidRDefault="00855368" w:rsidP="00BD3FB8">
            <w:pPr>
              <w:rPr>
                <w:sz w:val="20"/>
                <w:lang w:val="en-GB"/>
              </w:rPr>
            </w:pPr>
            <w:r>
              <w:rPr>
                <w:sz w:val="20"/>
                <w:lang w:val="en-GB"/>
              </w:rPr>
              <w:t>November 2020</w:t>
            </w:r>
            <w:r w:rsidR="00A04A44">
              <w:rPr>
                <w:sz w:val="20"/>
                <w:lang w:val="en-GB"/>
              </w:rPr>
              <w:t xml:space="preserve"> and e</w:t>
            </w:r>
            <w:r w:rsidR="00EB6CCE">
              <w:rPr>
                <w:sz w:val="20"/>
                <w:lang w:val="en-GB"/>
              </w:rPr>
              <w:t>arly 2021</w:t>
            </w:r>
          </w:p>
        </w:tc>
      </w:tr>
    </w:tbl>
    <w:p w:rsidR="00855368" w:rsidRPr="00855368" w:rsidRDefault="00855368" w:rsidP="00855368">
      <w:pPr>
        <w:rPr>
          <w:lang w:val="en-GB"/>
        </w:rPr>
      </w:pPr>
    </w:p>
    <w:p w:rsidR="00855368" w:rsidRDefault="00855368" w:rsidP="00855368">
      <w:pPr>
        <w:rPr>
          <w:lang w:val="en-GB"/>
        </w:rPr>
      </w:pPr>
      <w:r>
        <w:rPr>
          <w:lang w:val="en-GB"/>
        </w:rPr>
        <w:t xml:space="preserve">Two additional economic support payments of $250 </w:t>
      </w:r>
      <w:r w:rsidR="00ED7D52">
        <w:rPr>
          <w:lang w:val="en-GB"/>
        </w:rPr>
        <w:t xml:space="preserve">each </w:t>
      </w:r>
      <w:r>
        <w:rPr>
          <w:lang w:val="en-GB"/>
        </w:rPr>
        <w:t>will be made to</w:t>
      </w:r>
      <w:r w:rsidRPr="00855368">
        <w:rPr>
          <w:lang w:val="en-GB"/>
        </w:rPr>
        <w:t xml:space="preserve"> eligible recipients of the following payments and health care card holders:</w:t>
      </w:r>
    </w:p>
    <w:p w:rsidR="00251B1A" w:rsidRDefault="00251B1A" w:rsidP="00251B1A"/>
    <w:p w:rsidR="00251B1A" w:rsidRDefault="00251B1A" w:rsidP="00251B1A">
      <w:pPr>
        <w:sectPr w:rsidR="00251B1A" w:rsidSect="00AF0F3D">
          <w:type w:val="continuous"/>
          <w:pgSz w:w="11906" w:h="16838" w:code="9"/>
          <w:pgMar w:top="1985" w:right="1416" w:bottom="1134" w:left="1418" w:header="709" w:footer="567" w:gutter="0"/>
          <w:cols w:space="708"/>
          <w:titlePg/>
          <w:docGrid w:linePitch="360"/>
        </w:sectPr>
      </w:pPr>
    </w:p>
    <w:p w:rsidR="00855368" w:rsidRPr="00855368" w:rsidRDefault="00855368" w:rsidP="00855368">
      <w:pPr>
        <w:pStyle w:val="ListParagraph"/>
      </w:pPr>
      <w:r w:rsidRPr="00855368">
        <w:t>Age Pension</w:t>
      </w:r>
    </w:p>
    <w:p w:rsidR="00855368" w:rsidRPr="00855368" w:rsidRDefault="00855368" w:rsidP="00855368">
      <w:pPr>
        <w:pStyle w:val="ListParagraph"/>
      </w:pPr>
      <w:r w:rsidRPr="00855368">
        <w:t>Disability Support Pension</w:t>
      </w:r>
    </w:p>
    <w:p w:rsidR="00855368" w:rsidRPr="00855368" w:rsidRDefault="00855368" w:rsidP="00855368">
      <w:pPr>
        <w:pStyle w:val="ListParagraph"/>
      </w:pPr>
      <w:r w:rsidRPr="00855368">
        <w:t>Carer Payment</w:t>
      </w:r>
    </w:p>
    <w:p w:rsidR="00855368" w:rsidRDefault="00855368" w:rsidP="00855368">
      <w:pPr>
        <w:pStyle w:val="ListParagraph"/>
      </w:pPr>
      <w:r w:rsidRPr="00855368">
        <w:t>Family Tax Benefit, including Double Orphan Pension (not in receipt of a primary</w:t>
      </w:r>
      <w:r>
        <w:t xml:space="preserve"> </w:t>
      </w:r>
      <w:r w:rsidRPr="00855368">
        <w:t>income support payment)</w:t>
      </w:r>
    </w:p>
    <w:p w:rsidR="00855368" w:rsidRDefault="00855368" w:rsidP="00855368">
      <w:pPr>
        <w:pStyle w:val="ListParagraph"/>
      </w:pPr>
      <w:r>
        <w:t>Carer Allowance (not in receipt of a primary income support payment)</w:t>
      </w:r>
    </w:p>
    <w:p w:rsidR="00855368" w:rsidRDefault="00855368" w:rsidP="00855368">
      <w:pPr>
        <w:pStyle w:val="ListParagraph"/>
      </w:pPr>
      <w:r>
        <w:t>Pensioner Concession Card (PCC) holders (not in receipt of a primary income support payment)</w:t>
      </w:r>
    </w:p>
    <w:p w:rsidR="00855368" w:rsidRDefault="00855368" w:rsidP="00855368">
      <w:pPr>
        <w:pStyle w:val="ListParagraph"/>
      </w:pPr>
      <w:r>
        <w:t>Commonwealth Seniors Health Card holders</w:t>
      </w:r>
    </w:p>
    <w:p w:rsidR="00855368" w:rsidRDefault="00855368" w:rsidP="00855368">
      <w:pPr>
        <w:pStyle w:val="ListParagraph"/>
      </w:pPr>
      <w:r>
        <w:t>Eligible Veterans’ Affairs payment recipients and concession card holders.</w:t>
      </w:r>
    </w:p>
    <w:p w:rsidR="00251B1A" w:rsidRDefault="00251B1A" w:rsidP="00855368">
      <w:pPr>
        <w:sectPr w:rsidR="00251B1A" w:rsidSect="00251B1A">
          <w:type w:val="continuous"/>
          <w:pgSz w:w="11906" w:h="16838" w:code="9"/>
          <w:pgMar w:top="1985" w:right="1416" w:bottom="1134" w:left="1418" w:header="709" w:footer="567" w:gutter="0"/>
          <w:cols w:num="2" w:space="708"/>
          <w:titlePg/>
          <w:docGrid w:linePitch="360"/>
        </w:sectPr>
      </w:pPr>
    </w:p>
    <w:p w:rsidR="00855368" w:rsidRDefault="00855368" w:rsidP="00855368"/>
    <w:p w:rsidR="00855368" w:rsidRPr="00855368" w:rsidRDefault="00855368" w:rsidP="00855368">
      <w:r>
        <w:t>The payments are exempt from taxation and will not count as income support for the purposes of any income support payment.</w:t>
      </w:r>
    </w:p>
    <w:p w:rsidR="007146F3" w:rsidRPr="00855368" w:rsidRDefault="007146F3" w:rsidP="00251B1A">
      <w:pPr>
        <w:pStyle w:val="Heading2"/>
        <w:rPr>
          <w:lang w:val="en-GB"/>
        </w:rPr>
      </w:pPr>
      <w:bookmarkStart w:id="4" w:name="_Toc52955431"/>
      <w:r w:rsidRPr="00855368">
        <w:rPr>
          <w:lang w:val="en-GB"/>
        </w:rPr>
        <w:t>Capital gains tax removed from ‘</w:t>
      </w:r>
      <w:r w:rsidRPr="00251B1A">
        <w:t>granny</w:t>
      </w:r>
      <w:r w:rsidRPr="00855368">
        <w:rPr>
          <w:lang w:val="en-GB"/>
        </w:rPr>
        <w:t xml:space="preserve"> flats’</w:t>
      </w:r>
      <w:bookmarkEnd w:id="4"/>
    </w:p>
    <w:tbl>
      <w:tblPr>
        <w:tblStyle w:val="TableContemporary"/>
        <w:tblW w:w="0" w:type="auto"/>
        <w:tblLook w:val="0400" w:firstRow="0" w:lastRow="0" w:firstColumn="0" w:lastColumn="0" w:noHBand="0" w:noVBand="1"/>
      </w:tblPr>
      <w:tblGrid>
        <w:gridCol w:w="2830"/>
        <w:gridCol w:w="6232"/>
      </w:tblGrid>
      <w:tr w:rsidR="004339D9" w:rsidRPr="00FF0647" w:rsidTr="00CD43D0">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4339D9" w:rsidRPr="00FF0647" w:rsidRDefault="004339D9" w:rsidP="00CD43D0">
            <w:pPr>
              <w:rPr>
                <w:b/>
                <w:bCs/>
                <w:sz w:val="20"/>
                <w:lang w:val="en-GB"/>
              </w:rPr>
            </w:pPr>
            <w:r w:rsidRPr="00FF0647">
              <w:rPr>
                <w:b/>
                <w:bCs/>
                <w:sz w:val="20"/>
                <w:lang w:val="en-GB"/>
              </w:rPr>
              <w:t>Date of effect</w:t>
            </w:r>
          </w:p>
        </w:tc>
        <w:tc>
          <w:tcPr>
            <w:tcW w:w="6232" w:type="dxa"/>
            <w:shd w:val="clear" w:color="auto" w:fill="FFFFFF" w:themeFill="background1"/>
            <w:vAlign w:val="center"/>
          </w:tcPr>
          <w:p w:rsidR="004339D9" w:rsidRPr="00FF0647" w:rsidRDefault="004339D9" w:rsidP="00CD43D0">
            <w:pPr>
              <w:rPr>
                <w:sz w:val="20"/>
                <w:lang w:val="en-GB"/>
              </w:rPr>
            </w:pPr>
            <w:r w:rsidRPr="00FF0647">
              <w:rPr>
                <w:sz w:val="20"/>
                <w:lang w:val="en-GB"/>
              </w:rPr>
              <w:t xml:space="preserve">1 July 2021 subject </w:t>
            </w:r>
            <w:r w:rsidR="004546B6" w:rsidRPr="00FF0647">
              <w:rPr>
                <w:sz w:val="20"/>
                <w:lang w:val="en-GB"/>
              </w:rPr>
              <w:t>to the passage of the legislation</w:t>
            </w:r>
          </w:p>
        </w:tc>
      </w:tr>
    </w:tbl>
    <w:p w:rsidR="004339D9" w:rsidRPr="00FF0647" w:rsidRDefault="004339D9" w:rsidP="004339D9">
      <w:pPr>
        <w:rPr>
          <w:lang w:val="en-GB"/>
        </w:rPr>
      </w:pPr>
    </w:p>
    <w:p w:rsidR="004546B6" w:rsidRDefault="000D5693" w:rsidP="004546B6">
      <w:pPr>
        <w:rPr>
          <w:lang w:val="en-GB"/>
        </w:rPr>
      </w:pPr>
      <w:r w:rsidRPr="000D5693">
        <w:rPr>
          <w:lang w:val="en-GB"/>
        </w:rPr>
        <w:t>At present, if you enter int</w:t>
      </w:r>
      <w:r>
        <w:rPr>
          <w:lang w:val="en-GB"/>
        </w:rPr>
        <w:t>o</w:t>
      </w:r>
      <w:r w:rsidRPr="000D5693">
        <w:rPr>
          <w:lang w:val="en-GB"/>
        </w:rPr>
        <w:t xml:space="preserve"> a formal granny flat arrangement with a relative, such as an elderly parent, there is a risk of capital gains tax (CGT) applying.</w:t>
      </w:r>
    </w:p>
    <w:p w:rsidR="000D5693" w:rsidRPr="00FF0647" w:rsidRDefault="000D5693" w:rsidP="004546B6">
      <w:pPr>
        <w:rPr>
          <w:lang w:val="en-GB"/>
        </w:rPr>
      </w:pPr>
    </w:p>
    <w:p w:rsidR="004546B6" w:rsidRPr="00FF0647" w:rsidRDefault="004546B6" w:rsidP="004546B6">
      <w:pPr>
        <w:rPr>
          <w:lang w:val="en-GB"/>
        </w:rPr>
      </w:pPr>
      <w:r w:rsidRPr="00FF0647">
        <w:rPr>
          <w:lang w:val="en-GB"/>
        </w:rPr>
        <w:t xml:space="preserve">Announced pre Budget, this measure provides a targeted CGT exemption for granny flats under certain conditions. Under the arrangement, CGT will not apply to the creation, variation or termination of a formal written granny flat arrangement providing accommodation for older Australians or people with disabilities.  </w:t>
      </w:r>
    </w:p>
    <w:p w:rsidR="004546B6" w:rsidRPr="00FF0647" w:rsidRDefault="004546B6" w:rsidP="004546B6">
      <w:pPr>
        <w:rPr>
          <w:lang w:val="en-GB"/>
        </w:rPr>
      </w:pPr>
    </w:p>
    <w:p w:rsidR="00795E76" w:rsidRPr="00FF0647" w:rsidRDefault="004546B6" w:rsidP="004546B6">
      <w:pPr>
        <w:rPr>
          <w:lang w:val="en-GB"/>
        </w:rPr>
      </w:pPr>
      <w:r w:rsidRPr="00FF0647">
        <w:rPr>
          <w:lang w:val="en-GB"/>
        </w:rPr>
        <w:t>The exemption only applies to family arrangements or other personal ties and will not apply to commercial rental arrangements.</w:t>
      </w:r>
    </w:p>
    <w:p w:rsidR="004546B6" w:rsidRPr="00FF0647" w:rsidRDefault="004546B6" w:rsidP="004546B6">
      <w:pPr>
        <w:rPr>
          <w:lang w:val="en-GB"/>
        </w:rPr>
      </w:pPr>
    </w:p>
    <w:p w:rsidR="00F0671B" w:rsidRPr="00FF0647" w:rsidRDefault="004339D9" w:rsidP="007146F3">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15" w:history="1">
        <w:r w:rsidRPr="00FF0647">
          <w:rPr>
            <w:rStyle w:val="Hyperlink"/>
            <w:lang w:val="en-GB"/>
          </w:rPr>
          <w:t>Removing Capital Gains Tax for Granny Flats</w:t>
        </w:r>
      </w:hyperlink>
    </w:p>
    <w:p w:rsidR="00251B1A" w:rsidRDefault="00251B1A">
      <w:pPr>
        <w:spacing w:after="200"/>
        <w:rPr>
          <w:rFonts w:eastAsiaTheme="majorEastAsia" w:cstheme="majorBidi"/>
          <w:bCs/>
          <w:color w:val="7F7F7F" w:themeColor="text1" w:themeTint="80"/>
          <w:sz w:val="32"/>
          <w:szCs w:val="26"/>
          <w:lang w:val="en-GB"/>
        </w:rPr>
      </w:pPr>
      <w:r>
        <w:rPr>
          <w:lang w:val="en-GB"/>
        </w:rPr>
        <w:br w:type="page"/>
      </w:r>
    </w:p>
    <w:p w:rsidR="00F0671B" w:rsidRPr="00FF0647" w:rsidRDefault="00F0671B" w:rsidP="00F0671B">
      <w:pPr>
        <w:pStyle w:val="Heading2"/>
        <w:rPr>
          <w:lang w:val="en-GB"/>
        </w:rPr>
      </w:pPr>
      <w:bookmarkStart w:id="5" w:name="_Toc52955432"/>
      <w:r w:rsidRPr="00FF0647">
        <w:rPr>
          <w:lang w:val="en-GB"/>
        </w:rPr>
        <w:lastRenderedPageBreak/>
        <w:t>10,000 additional places in First Home Loan Deposit Scheme</w:t>
      </w:r>
      <w:bookmarkEnd w:id="5"/>
    </w:p>
    <w:tbl>
      <w:tblPr>
        <w:tblStyle w:val="TableContemporary"/>
        <w:tblW w:w="0" w:type="auto"/>
        <w:tblLook w:val="0400" w:firstRow="0" w:lastRow="0" w:firstColumn="0" w:lastColumn="0" w:noHBand="0" w:noVBand="1"/>
      </w:tblPr>
      <w:tblGrid>
        <w:gridCol w:w="2830"/>
        <w:gridCol w:w="6232"/>
      </w:tblGrid>
      <w:tr w:rsidR="00F0671B" w:rsidRPr="00FF0647" w:rsidTr="00A85579">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F0671B" w:rsidRPr="00FF0647" w:rsidRDefault="00F0671B" w:rsidP="00A85579">
            <w:pPr>
              <w:rPr>
                <w:b/>
                <w:bCs/>
                <w:sz w:val="20"/>
                <w:lang w:val="en-GB"/>
              </w:rPr>
            </w:pPr>
            <w:r w:rsidRPr="00FF0647">
              <w:rPr>
                <w:b/>
                <w:bCs/>
                <w:sz w:val="20"/>
                <w:lang w:val="en-GB"/>
              </w:rPr>
              <w:t>Date of effect</w:t>
            </w:r>
          </w:p>
        </w:tc>
        <w:tc>
          <w:tcPr>
            <w:tcW w:w="6232" w:type="dxa"/>
            <w:shd w:val="clear" w:color="auto" w:fill="FFFFFF" w:themeFill="background1"/>
            <w:vAlign w:val="center"/>
          </w:tcPr>
          <w:p w:rsidR="00F0671B" w:rsidRPr="00FF0647" w:rsidRDefault="00F0671B" w:rsidP="00A85579">
            <w:pPr>
              <w:rPr>
                <w:sz w:val="20"/>
                <w:lang w:val="en-GB"/>
              </w:rPr>
            </w:pPr>
            <w:r w:rsidRPr="00FF0647">
              <w:rPr>
                <w:sz w:val="20"/>
                <w:lang w:val="en-GB"/>
              </w:rPr>
              <w:t>6 October 2020</w:t>
            </w:r>
          </w:p>
        </w:tc>
      </w:tr>
    </w:tbl>
    <w:p w:rsidR="00F0671B" w:rsidRPr="00FF0647" w:rsidRDefault="00F0671B" w:rsidP="00F0671B">
      <w:pPr>
        <w:rPr>
          <w:lang w:val="en-GB"/>
        </w:rPr>
      </w:pPr>
    </w:p>
    <w:p w:rsidR="00F0671B" w:rsidRPr="00FF0647" w:rsidRDefault="00F0671B" w:rsidP="00F0671B">
      <w:pPr>
        <w:rPr>
          <w:lang w:val="en-GB"/>
        </w:rPr>
      </w:pPr>
      <w:r w:rsidRPr="00FF0647">
        <w:rPr>
          <w:lang w:val="en-GB"/>
        </w:rPr>
        <w:t>Announced pre Budget, from 6 October 2020</w:t>
      </w:r>
      <w:r w:rsidR="001D1024" w:rsidRPr="00FF0647">
        <w:rPr>
          <w:lang w:val="en-GB"/>
        </w:rPr>
        <w:t xml:space="preserve"> until 30 June 2021</w:t>
      </w:r>
      <w:r w:rsidRPr="00FF0647">
        <w:rPr>
          <w:lang w:val="en-GB"/>
        </w:rPr>
        <w:t xml:space="preserve">, an additional 10,000 places will be available for first home buyers under the </w:t>
      </w:r>
      <w:hyperlink r:id="rId16" w:history="1">
        <w:r w:rsidRPr="00FF0647">
          <w:rPr>
            <w:rStyle w:val="Hyperlink"/>
            <w:lang w:val="en-GB"/>
          </w:rPr>
          <w:t>First Home Loan Deposit Scheme</w:t>
        </w:r>
      </w:hyperlink>
      <w:r w:rsidRPr="00FF0647">
        <w:rPr>
          <w:lang w:val="en-GB"/>
        </w:rPr>
        <w:t xml:space="preserve"> to support the purchase of a new home or a newly built home.</w:t>
      </w:r>
      <w:r w:rsidR="00AD0329" w:rsidRPr="00FF0647">
        <w:rPr>
          <w:lang w:val="en-GB"/>
        </w:rPr>
        <w:t xml:space="preserve"> The scheme enables first home buyers to purchase a home with a deposit of as little as 5% without mortgage insurance.</w:t>
      </w:r>
      <w:r w:rsidR="00CC3C34" w:rsidRPr="00FF0647">
        <w:rPr>
          <w:lang w:val="en-GB"/>
        </w:rPr>
        <w:t xml:space="preserve"> There are currently 27 </w:t>
      </w:r>
      <w:hyperlink r:id="rId17" w:anchor="FHLDSlenders" w:history="1">
        <w:r w:rsidR="00CC3C34" w:rsidRPr="00FF0647">
          <w:rPr>
            <w:rStyle w:val="Hyperlink"/>
            <w:lang w:val="en-GB"/>
          </w:rPr>
          <w:t>participating lenders</w:t>
        </w:r>
      </w:hyperlink>
      <w:r w:rsidR="00CC3C34" w:rsidRPr="00FF0647">
        <w:rPr>
          <w:lang w:val="en-GB"/>
        </w:rPr>
        <w:t xml:space="preserve"> across Australia offering places under the First Home Loan Deposit Scheme.</w:t>
      </w:r>
    </w:p>
    <w:p w:rsidR="007146F3" w:rsidRPr="00FF0647" w:rsidRDefault="007146F3" w:rsidP="007146F3">
      <w:pPr>
        <w:rPr>
          <w:lang w:val="en-GB"/>
        </w:rPr>
      </w:pPr>
    </w:p>
    <w:p w:rsidR="00FF6CA4" w:rsidRDefault="00F0671B" w:rsidP="00F0671B">
      <w:pPr>
        <w:rPr>
          <w:rStyle w:val="Hyperlink"/>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18" w:history="1">
        <w:r w:rsidRPr="00FF0647">
          <w:rPr>
            <w:rStyle w:val="Hyperlink"/>
            <w:lang w:val="en-GB"/>
          </w:rPr>
          <w:t>Helping an additional 10,000 first home buyers</w:t>
        </w:r>
      </w:hyperlink>
    </w:p>
    <w:p w:rsidR="00A04A44" w:rsidRDefault="00A04A44" w:rsidP="00FF6CA4">
      <w:pPr>
        <w:pStyle w:val="Heading2"/>
        <w:rPr>
          <w:rStyle w:val="Hyperlink"/>
          <w:color w:val="7F7F7F" w:themeColor="text1" w:themeTint="80"/>
          <w:sz w:val="32"/>
        </w:rPr>
      </w:pPr>
      <w:bookmarkStart w:id="6" w:name="_Toc52955433"/>
      <w:r>
        <w:rPr>
          <w:rStyle w:val="Hyperlink"/>
          <w:color w:val="7F7F7F" w:themeColor="text1" w:themeTint="80"/>
          <w:sz w:val="32"/>
        </w:rPr>
        <w:t>Aged care support</w:t>
      </w:r>
      <w:bookmarkEnd w:id="6"/>
    </w:p>
    <w:p w:rsidR="00FF6CA4" w:rsidRPr="00A04A44" w:rsidRDefault="00FF6CA4" w:rsidP="00A04A44">
      <w:pPr>
        <w:pStyle w:val="Heading3"/>
      </w:pPr>
      <w:bookmarkStart w:id="7" w:name="_Toc52955434"/>
      <w:r w:rsidRPr="00A04A44">
        <w:t>$1.6bn to help elderly stay at home</w:t>
      </w:r>
      <w:bookmarkEnd w:id="7"/>
    </w:p>
    <w:p w:rsidR="00CB5E8C" w:rsidRDefault="00CB5E8C" w:rsidP="00CB5E8C">
      <w:r>
        <w:t>As previously announced, the Government has committed to a broad package of aged care funding predominantly focussed on helping older Australians remain at home. $1.6 billion has been provided over four years from 2020-21 to release an additional 23,000 home care packages across all package levels.</w:t>
      </w:r>
    </w:p>
    <w:p w:rsidR="00A81E8F" w:rsidRDefault="00A81E8F" w:rsidP="00CB5E8C"/>
    <w:p w:rsidR="00A81E8F" w:rsidRDefault="00A81E8F" w:rsidP="00CB5E8C">
      <w:r>
        <w:t>T</w:t>
      </w:r>
      <w:r w:rsidRPr="00A81E8F">
        <w:t>he number of home care packages will have increased threefold from around 60,300 in 2013 to around 185,500 in 2021</w:t>
      </w:r>
      <w:r>
        <w:t>.</w:t>
      </w:r>
    </w:p>
    <w:p w:rsidR="00A04A44" w:rsidRDefault="00A04A44" w:rsidP="00A04A44">
      <w:pPr>
        <w:pStyle w:val="Heading3"/>
      </w:pPr>
      <w:bookmarkStart w:id="8" w:name="_Toc52955435"/>
      <w:r>
        <w:t>Aged care industry monitoring and support</w:t>
      </w:r>
      <w:bookmarkEnd w:id="8"/>
    </w:p>
    <w:p w:rsidR="00F0671B" w:rsidRPr="00FF0647" w:rsidRDefault="00CB5E8C" w:rsidP="00CB5E8C">
      <w:pPr>
        <w:rPr>
          <w:lang w:val="en-GB"/>
        </w:rPr>
      </w:pPr>
      <w:r>
        <w:t>An additional $400 million will see an injection in cash for infrastructure supporting the aged care industry including a new serious incident response scheme and monitoring services.</w:t>
      </w:r>
    </w:p>
    <w:p w:rsidR="007146F3" w:rsidRPr="00FF0647" w:rsidRDefault="007146F3" w:rsidP="00AF053E">
      <w:pPr>
        <w:rPr>
          <w:lang w:val="en-GB"/>
        </w:rPr>
      </w:pPr>
    </w:p>
    <w:p w:rsidR="00251B1A" w:rsidRDefault="00251B1A">
      <w:pPr>
        <w:spacing w:after="200"/>
        <w:rPr>
          <w:rFonts w:eastAsiaTheme="majorEastAsia" w:cstheme="majorBidi"/>
          <w:color w:val="262626" w:themeColor="text1" w:themeTint="D9"/>
          <w:sz w:val="48"/>
          <w:szCs w:val="44"/>
          <w:lang w:val="en-GB"/>
        </w:rPr>
      </w:pPr>
      <w:r>
        <w:rPr>
          <w:lang w:val="en-GB"/>
        </w:rPr>
        <w:br w:type="page"/>
      </w:r>
    </w:p>
    <w:p w:rsidR="00706AD8" w:rsidRDefault="005F3D62" w:rsidP="007146F3">
      <w:pPr>
        <w:pStyle w:val="Heading1"/>
        <w:rPr>
          <w:lang w:val="en-GB"/>
        </w:rPr>
      </w:pPr>
      <w:bookmarkStart w:id="9" w:name="_Toc52955436"/>
      <w:r w:rsidRPr="00FF0647">
        <w:rPr>
          <w:lang w:val="en-GB"/>
        </w:rPr>
        <w:lastRenderedPageBreak/>
        <w:t xml:space="preserve">Your </w:t>
      </w:r>
      <w:r w:rsidR="00251B1A">
        <w:rPr>
          <w:lang w:val="en-GB"/>
        </w:rPr>
        <w:t>S</w:t>
      </w:r>
      <w:r w:rsidR="00706AD8" w:rsidRPr="00FF0647">
        <w:rPr>
          <w:lang w:val="en-GB"/>
        </w:rPr>
        <w:t>uperannuation</w:t>
      </w:r>
      <w:bookmarkEnd w:id="9"/>
    </w:p>
    <w:p w:rsidR="00251B1A" w:rsidRPr="00944B38" w:rsidRDefault="00251B1A" w:rsidP="00251B1A">
      <w:pPr>
        <w:pStyle w:val="Heading2"/>
        <w:rPr>
          <w:lang w:val="en-GB"/>
        </w:rPr>
      </w:pPr>
      <w:bookmarkStart w:id="10" w:name="_Toc52955437"/>
      <w:r>
        <w:rPr>
          <w:lang w:val="en-GB"/>
        </w:rPr>
        <w:t>Superannuation accounts ‘stapled’ to an individual</w:t>
      </w:r>
      <w:bookmarkEnd w:id="10"/>
    </w:p>
    <w:tbl>
      <w:tblPr>
        <w:tblStyle w:val="TableContemporary"/>
        <w:tblW w:w="0" w:type="auto"/>
        <w:tblLook w:val="0400" w:firstRow="0" w:lastRow="0" w:firstColumn="0" w:lastColumn="0" w:noHBand="0" w:noVBand="1"/>
      </w:tblPr>
      <w:tblGrid>
        <w:gridCol w:w="2830"/>
        <w:gridCol w:w="6232"/>
      </w:tblGrid>
      <w:tr w:rsidR="00251B1A" w:rsidRPr="00FF0647" w:rsidTr="00251B1A">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251B1A" w:rsidRPr="00FF0647" w:rsidRDefault="00251B1A" w:rsidP="00251B1A">
            <w:pPr>
              <w:rPr>
                <w:b/>
                <w:bCs/>
                <w:sz w:val="20"/>
                <w:lang w:val="en-GB"/>
              </w:rPr>
            </w:pPr>
            <w:r w:rsidRPr="00FF0647">
              <w:rPr>
                <w:b/>
                <w:bCs/>
                <w:sz w:val="20"/>
                <w:lang w:val="en-GB"/>
              </w:rPr>
              <w:t>Date of effect</w:t>
            </w:r>
          </w:p>
        </w:tc>
        <w:tc>
          <w:tcPr>
            <w:tcW w:w="6232" w:type="dxa"/>
            <w:shd w:val="clear" w:color="auto" w:fill="FFFFFF" w:themeFill="background1"/>
            <w:vAlign w:val="center"/>
          </w:tcPr>
          <w:p w:rsidR="00251B1A" w:rsidRPr="00FF0647" w:rsidRDefault="00251B1A" w:rsidP="00251B1A">
            <w:pPr>
              <w:rPr>
                <w:sz w:val="20"/>
                <w:lang w:val="en-GB"/>
              </w:rPr>
            </w:pPr>
            <w:r>
              <w:rPr>
                <w:sz w:val="20"/>
                <w:lang w:val="en-GB"/>
              </w:rPr>
              <w:t>From 1 July 2021</w:t>
            </w:r>
          </w:p>
        </w:tc>
      </w:tr>
    </w:tbl>
    <w:p w:rsidR="00251B1A" w:rsidRDefault="00251B1A" w:rsidP="00251B1A">
      <w:pPr>
        <w:rPr>
          <w:lang w:val="en-GB"/>
        </w:rPr>
      </w:pPr>
    </w:p>
    <w:p w:rsidR="00251B1A" w:rsidRDefault="00251B1A" w:rsidP="00251B1A">
      <w:pPr>
        <w:rPr>
          <w:lang w:val="en-GB"/>
        </w:rPr>
      </w:pPr>
      <w:r>
        <w:rPr>
          <w:lang w:val="en-GB"/>
        </w:rPr>
        <w:t xml:space="preserve">This reform will ensure individuals continue to use their existing superannuation fund when they change jobs. The fund will be “stapled” to the individual to prevent the duplication of superannuation fund accounts when changing employers. </w:t>
      </w:r>
    </w:p>
    <w:p w:rsidR="00251B1A" w:rsidRDefault="00251B1A" w:rsidP="00251B1A">
      <w:pPr>
        <w:rPr>
          <w:lang w:val="en-GB"/>
        </w:rPr>
      </w:pPr>
    </w:p>
    <w:p w:rsidR="00251B1A" w:rsidRPr="008525D9" w:rsidRDefault="00251B1A" w:rsidP="00251B1A">
      <w:pPr>
        <w:rPr>
          <w:lang w:val="en-GB"/>
        </w:rPr>
      </w:pPr>
      <w:r>
        <w:rPr>
          <w:lang w:val="en-GB"/>
        </w:rPr>
        <w:t>From</w:t>
      </w:r>
      <w:r w:rsidRPr="008525D9">
        <w:rPr>
          <w:lang w:val="en-GB"/>
        </w:rPr>
        <w:t xml:space="preserve"> 1 July 2021:</w:t>
      </w:r>
    </w:p>
    <w:p w:rsidR="00251B1A" w:rsidRPr="008525D9" w:rsidRDefault="00251B1A" w:rsidP="00251B1A">
      <w:pPr>
        <w:pStyle w:val="ListParagraph"/>
      </w:pPr>
      <w:r w:rsidRPr="008525D9">
        <w:t>If an employee does not nominate an account</w:t>
      </w:r>
      <w:r>
        <w:t xml:space="preserve"> </w:t>
      </w:r>
      <w:r w:rsidRPr="008525D9">
        <w:t>at the time they start a new job, employers</w:t>
      </w:r>
      <w:r>
        <w:t xml:space="preserve"> </w:t>
      </w:r>
      <w:r w:rsidRPr="008525D9">
        <w:t>will pay their superannuation contributions to</w:t>
      </w:r>
      <w:r>
        <w:t xml:space="preserve"> </w:t>
      </w:r>
      <w:r w:rsidRPr="008525D9">
        <w:t>their existing fund.</w:t>
      </w:r>
    </w:p>
    <w:p w:rsidR="00251B1A" w:rsidRPr="008525D9" w:rsidRDefault="00251B1A" w:rsidP="00251B1A">
      <w:pPr>
        <w:pStyle w:val="ListParagraph"/>
      </w:pPr>
      <w:r w:rsidRPr="008525D9">
        <w:t>Employers will obtain information about the</w:t>
      </w:r>
      <w:r>
        <w:t xml:space="preserve"> </w:t>
      </w:r>
      <w:r w:rsidRPr="008525D9">
        <w:t>employee’s existing superannuation fund</w:t>
      </w:r>
      <w:r>
        <w:t xml:space="preserve"> </w:t>
      </w:r>
      <w:r w:rsidRPr="008525D9">
        <w:t>from the ATO.</w:t>
      </w:r>
    </w:p>
    <w:p w:rsidR="00251B1A" w:rsidRDefault="00251B1A" w:rsidP="00251B1A">
      <w:pPr>
        <w:pStyle w:val="ListParagraph"/>
      </w:pPr>
      <w:r w:rsidRPr="008525D9">
        <w:t>The employer will do this by logging onto ATO</w:t>
      </w:r>
      <w:r>
        <w:t xml:space="preserve"> </w:t>
      </w:r>
      <w:r w:rsidRPr="008525D9">
        <w:t>online services and entering the employee’s</w:t>
      </w:r>
      <w:r>
        <w:t xml:space="preserve"> </w:t>
      </w:r>
      <w:r w:rsidRPr="008525D9">
        <w:t>details. Once an account has been selected,</w:t>
      </w:r>
      <w:r>
        <w:t xml:space="preserve"> t</w:t>
      </w:r>
      <w:r w:rsidRPr="008525D9">
        <w:t>he employer will pay superannuation</w:t>
      </w:r>
      <w:r>
        <w:t xml:space="preserve"> </w:t>
      </w:r>
      <w:r w:rsidRPr="008525D9">
        <w:t>contributions into the employee’s account.</w:t>
      </w:r>
    </w:p>
    <w:p w:rsidR="00251B1A" w:rsidRDefault="00251B1A" w:rsidP="00251B1A">
      <w:pPr>
        <w:pStyle w:val="ListParagraph"/>
      </w:pPr>
      <w:r w:rsidRPr="008525D9">
        <w:t>If an employee does not have an existing</w:t>
      </w:r>
      <w:r>
        <w:t xml:space="preserve"> </w:t>
      </w:r>
      <w:r w:rsidRPr="008525D9">
        <w:t>superannuation account and does not make</w:t>
      </w:r>
      <w:r>
        <w:t xml:space="preserve"> </w:t>
      </w:r>
      <w:r w:rsidRPr="008525D9">
        <w:t>a decision regarding a fund, the employer will</w:t>
      </w:r>
      <w:r>
        <w:t xml:space="preserve"> </w:t>
      </w:r>
      <w:r w:rsidRPr="008525D9">
        <w:t>pay the employee’s superannuation into their</w:t>
      </w:r>
      <w:r>
        <w:t xml:space="preserve"> </w:t>
      </w:r>
      <w:r w:rsidRPr="008525D9">
        <w:t>nominated default superannuation fund.</w:t>
      </w:r>
    </w:p>
    <w:p w:rsidR="00251B1A" w:rsidRDefault="00251B1A" w:rsidP="00251B1A">
      <w:pPr>
        <w:rPr>
          <w:lang w:val="en-GB"/>
        </w:rPr>
      </w:pPr>
    </w:p>
    <w:p w:rsidR="00251B1A" w:rsidRPr="001260FB" w:rsidRDefault="00251B1A" w:rsidP="00251B1A">
      <w:pPr>
        <w:rPr>
          <w:lang w:val="en-GB"/>
        </w:rPr>
      </w:pPr>
      <w:r>
        <w:rPr>
          <w:lang w:val="en-GB"/>
        </w:rPr>
        <w:t>The Government expects that f</w:t>
      </w:r>
      <w:r w:rsidRPr="001260FB">
        <w:rPr>
          <w:lang w:val="en-GB"/>
        </w:rPr>
        <w:t>uture</w:t>
      </w:r>
      <w:r>
        <w:rPr>
          <w:lang w:val="en-GB"/>
        </w:rPr>
        <w:t xml:space="preserve"> </w:t>
      </w:r>
      <w:r w:rsidRPr="001260FB">
        <w:rPr>
          <w:lang w:val="en-GB"/>
        </w:rPr>
        <w:t>enhancements will enable payroll software developers to build systems to simplify</w:t>
      </w:r>
      <w:r>
        <w:rPr>
          <w:lang w:val="en-GB"/>
        </w:rPr>
        <w:t xml:space="preserve"> </w:t>
      </w:r>
      <w:r w:rsidRPr="001260FB">
        <w:rPr>
          <w:lang w:val="en-GB"/>
        </w:rPr>
        <w:t>the process of selecting a superannuation product for both employees and employers</w:t>
      </w:r>
    </w:p>
    <w:p w:rsidR="00251B1A" w:rsidRDefault="00251B1A" w:rsidP="00251B1A">
      <w:pPr>
        <w:rPr>
          <w:lang w:val="en-GB"/>
        </w:rPr>
      </w:pPr>
      <w:r w:rsidRPr="001260FB">
        <w:rPr>
          <w:lang w:val="en-GB"/>
        </w:rPr>
        <w:t>through automated provision of information to employers</w:t>
      </w:r>
      <w:r>
        <w:rPr>
          <w:lang w:val="en-GB"/>
        </w:rPr>
        <w:t>.</w:t>
      </w:r>
    </w:p>
    <w:p w:rsidR="00251B1A" w:rsidRDefault="00251B1A" w:rsidP="00251B1A">
      <w:pPr>
        <w:pStyle w:val="Heading2"/>
        <w:rPr>
          <w:lang w:val="en-GB"/>
        </w:rPr>
      </w:pPr>
      <w:bookmarkStart w:id="11" w:name="_Toc52955438"/>
      <w:r>
        <w:rPr>
          <w:lang w:val="en-GB"/>
        </w:rPr>
        <w:t>Accountability of underperforming funds</w:t>
      </w:r>
      <w:bookmarkEnd w:id="11"/>
    </w:p>
    <w:tbl>
      <w:tblPr>
        <w:tblStyle w:val="TableContemporary"/>
        <w:tblW w:w="0" w:type="auto"/>
        <w:tblLook w:val="0400" w:firstRow="0" w:lastRow="0" w:firstColumn="0" w:lastColumn="0" w:noHBand="0" w:noVBand="1"/>
      </w:tblPr>
      <w:tblGrid>
        <w:gridCol w:w="2830"/>
        <w:gridCol w:w="6232"/>
      </w:tblGrid>
      <w:tr w:rsidR="00251B1A" w:rsidRPr="00FF0647" w:rsidTr="00251B1A">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251B1A" w:rsidRPr="00FF0647" w:rsidRDefault="00251B1A" w:rsidP="00251B1A">
            <w:pPr>
              <w:rPr>
                <w:b/>
                <w:bCs/>
                <w:sz w:val="20"/>
                <w:lang w:val="en-GB"/>
              </w:rPr>
            </w:pPr>
            <w:r w:rsidRPr="00FF0647">
              <w:rPr>
                <w:b/>
                <w:bCs/>
                <w:sz w:val="20"/>
                <w:lang w:val="en-GB"/>
              </w:rPr>
              <w:t>Date of effect</w:t>
            </w:r>
          </w:p>
        </w:tc>
        <w:tc>
          <w:tcPr>
            <w:tcW w:w="6232" w:type="dxa"/>
            <w:shd w:val="clear" w:color="auto" w:fill="FFFFFF" w:themeFill="background1"/>
            <w:vAlign w:val="center"/>
          </w:tcPr>
          <w:p w:rsidR="00251B1A" w:rsidRDefault="00251B1A" w:rsidP="00251B1A">
            <w:pPr>
              <w:rPr>
                <w:sz w:val="20"/>
                <w:lang w:val="en-GB"/>
              </w:rPr>
            </w:pPr>
            <w:r>
              <w:rPr>
                <w:sz w:val="20"/>
                <w:lang w:val="en-GB"/>
              </w:rPr>
              <w:t>From July 2021 (MySuper products)</w:t>
            </w:r>
          </w:p>
          <w:p w:rsidR="00251B1A" w:rsidRPr="00FF0647" w:rsidRDefault="00251B1A" w:rsidP="00251B1A">
            <w:pPr>
              <w:rPr>
                <w:sz w:val="20"/>
                <w:lang w:val="en-GB"/>
              </w:rPr>
            </w:pPr>
            <w:r>
              <w:rPr>
                <w:sz w:val="20"/>
                <w:lang w:val="en-GB"/>
              </w:rPr>
              <w:t>From 1 July 2022 (non MySuper products)</w:t>
            </w:r>
          </w:p>
        </w:tc>
      </w:tr>
    </w:tbl>
    <w:p w:rsidR="00251B1A" w:rsidRPr="008308CF" w:rsidRDefault="00251B1A" w:rsidP="00251B1A">
      <w:pPr>
        <w:rPr>
          <w:lang w:val="en-GB"/>
        </w:rPr>
      </w:pPr>
    </w:p>
    <w:p w:rsidR="00251B1A" w:rsidRDefault="00251B1A" w:rsidP="00251B1A">
      <w:pPr>
        <w:rPr>
          <w:lang w:val="en-GB"/>
        </w:rPr>
      </w:pPr>
      <w:r>
        <w:rPr>
          <w:lang w:val="en-GB"/>
        </w:rPr>
        <w:t>F</w:t>
      </w:r>
      <w:r w:rsidRPr="008308CF">
        <w:rPr>
          <w:lang w:val="en-GB"/>
        </w:rPr>
        <w:t>rom July 2021</w:t>
      </w:r>
      <w:r>
        <w:rPr>
          <w:lang w:val="en-GB"/>
        </w:rPr>
        <w:t>,</w:t>
      </w:r>
      <w:r w:rsidRPr="008308CF">
        <w:rPr>
          <w:lang w:val="en-GB"/>
        </w:rPr>
        <w:t xml:space="preserve"> the Australian Prudential Regulation Authority will conduct</w:t>
      </w:r>
      <w:r>
        <w:rPr>
          <w:lang w:val="en-GB"/>
        </w:rPr>
        <w:t xml:space="preserve"> </w:t>
      </w:r>
      <w:r w:rsidRPr="008308CF">
        <w:rPr>
          <w:lang w:val="en-GB"/>
        </w:rPr>
        <w:t>benchmarking tests on the net investment performance of MySuper products, with</w:t>
      </w:r>
      <w:r>
        <w:rPr>
          <w:lang w:val="en-GB"/>
        </w:rPr>
        <w:t xml:space="preserve"> </w:t>
      </w:r>
      <w:r w:rsidRPr="008308CF">
        <w:rPr>
          <w:lang w:val="en-GB"/>
        </w:rPr>
        <w:t>products that have underperformed over two consecutive annual tests prohibited</w:t>
      </w:r>
      <w:r>
        <w:rPr>
          <w:lang w:val="en-GB"/>
        </w:rPr>
        <w:t xml:space="preserve"> </w:t>
      </w:r>
      <w:r w:rsidRPr="008308CF">
        <w:rPr>
          <w:lang w:val="en-GB"/>
        </w:rPr>
        <w:t>from receiving new members until a further annual test shows they are no</w:t>
      </w:r>
      <w:r>
        <w:rPr>
          <w:lang w:val="en-GB"/>
        </w:rPr>
        <w:t xml:space="preserve"> </w:t>
      </w:r>
      <w:r w:rsidRPr="008308CF">
        <w:rPr>
          <w:lang w:val="en-GB"/>
        </w:rPr>
        <w:t xml:space="preserve">longer underperforming. </w:t>
      </w:r>
    </w:p>
    <w:p w:rsidR="00251B1A" w:rsidRDefault="00251B1A" w:rsidP="00251B1A">
      <w:pPr>
        <w:rPr>
          <w:lang w:val="en-GB"/>
        </w:rPr>
      </w:pPr>
    </w:p>
    <w:p w:rsidR="00251B1A" w:rsidRDefault="00251B1A" w:rsidP="00251B1A">
      <w:pPr>
        <w:rPr>
          <w:lang w:val="en-GB"/>
        </w:rPr>
      </w:pPr>
      <w:r w:rsidRPr="00BB104E">
        <w:rPr>
          <w:lang w:val="en-GB"/>
        </w:rPr>
        <w:t>If a fund is deemed to be underperforming</w:t>
      </w:r>
      <w:r>
        <w:rPr>
          <w:lang w:val="en-GB"/>
        </w:rPr>
        <w:t xml:space="preserve"> in the first of these annual tests</w:t>
      </w:r>
      <w:r w:rsidRPr="00BB104E">
        <w:rPr>
          <w:lang w:val="en-GB"/>
        </w:rPr>
        <w:t>,</w:t>
      </w:r>
      <w:r>
        <w:rPr>
          <w:lang w:val="en-GB"/>
        </w:rPr>
        <w:t xml:space="preserve"> </w:t>
      </w:r>
      <w:r w:rsidRPr="00BB104E">
        <w:rPr>
          <w:lang w:val="en-GB"/>
        </w:rPr>
        <w:t>it will need to inform its members of its</w:t>
      </w:r>
      <w:r>
        <w:rPr>
          <w:lang w:val="en-GB"/>
        </w:rPr>
        <w:t xml:space="preserve"> </w:t>
      </w:r>
      <w:r w:rsidRPr="00BB104E">
        <w:rPr>
          <w:lang w:val="en-GB"/>
        </w:rPr>
        <w:t>underperformance by 1 October 2021.</w:t>
      </w:r>
      <w:r>
        <w:rPr>
          <w:lang w:val="en-GB"/>
        </w:rPr>
        <w:t xml:space="preserve"> </w:t>
      </w:r>
      <w:r w:rsidRPr="00BB104E">
        <w:rPr>
          <w:lang w:val="en-GB"/>
        </w:rPr>
        <w:t>When funds inform their members about their</w:t>
      </w:r>
      <w:r>
        <w:rPr>
          <w:lang w:val="en-GB"/>
        </w:rPr>
        <w:t xml:space="preserve"> </w:t>
      </w:r>
      <w:r w:rsidRPr="00BB104E">
        <w:rPr>
          <w:lang w:val="en-GB"/>
        </w:rPr>
        <w:t>underperformance they will also be required</w:t>
      </w:r>
      <w:r>
        <w:rPr>
          <w:lang w:val="en-GB"/>
        </w:rPr>
        <w:t xml:space="preserve"> </w:t>
      </w:r>
      <w:r w:rsidRPr="00BB104E">
        <w:rPr>
          <w:lang w:val="en-GB"/>
        </w:rPr>
        <w:t>to provide them with information about the</w:t>
      </w:r>
      <w:r>
        <w:rPr>
          <w:lang w:val="en-GB"/>
        </w:rPr>
        <w:t xml:space="preserve"> </w:t>
      </w:r>
      <w:r w:rsidRPr="00BB104E">
        <w:rPr>
          <w:lang w:val="en-GB"/>
        </w:rPr>
        <w:t>YourSuper comparison tool</w:t>
      </w:r>
      <w:r>
        <w:rPr>
          <w:lang w:val="en-GB"/>
        </w:rPr>
        <w:t xml:space="preserve"> (see below)</w:t>
      </w:r>
      <w:r w:rsidRPr="00BB104E">
        <w:rPr>
          <w:lang w:val="en-GB"/>
        </w:rPr>
        <w:t>.</w:t>
      </w:r>
      <w:r>
        <w:rPr>
          <w:lang w:val="en-GB"/>
        </w:rPr>
        <w:t xml:space="preserve"> </w:t>
      </w:r>
      <w:r w:rsidRPr="00BB104E">
        <w:rPr>
          <w:lang w:val="en-GB"/>
        </w:rPr>
        <w:t>Underperforming funds will be listed as</w:t>
      </w:r>
      <w:r>
        <w:rPr>
          <w:lang w:val="en-GB"/>
        </w:rPr>
        <w:t xml:space="preserve"> </w:t>
      </w:r>
      <w:r w:rsidRPr="00BB104E">
        <w:rPr>
          <w:lang w:val="en-GB"/>
        </w:rPr>
        <w:t>underperforming on the YourSuper comparison</w:t>
      </w:r>
      <w:r>
        <w:rPr>
          <w:lang w:val="en-GB"/>
        </w:rPr>
        <w:t xml:space="preserve"> </w:t>
      </w:r>
      <w:r w:rsidRPr="00BB104E">
        <w:rPr>
          <w:lang w:val="en-GB"/>
        </w:rPr>
        <w:t>tool until their performance improves.</w:t>
      </w:r>
    </w:p>
    <w:p w:rsidR="00251B1A" w:rsidRDefault="00251B1A" w:rsidP="00251B1A">
      <w:pPr>
        <w:rPr>
          <w:lang w:val="en-GB"/>
        </w:rPr>
      </w:pPr>
    </w:p>
    <w:p w:rsidR="00251B1A" w:rsidRDefault="00251B1A" w:rsidP="00251B1A">
      <w:pPr>
        <w:rPr>
          <w:lang w:val="en-GB"/>
        </w:rPr>
      </w:pPr>
      <w:r w:rsidRPr="008308CF">
        <w:rPr>
          <w:lang w:val="en-GB"/>
        </w:rPr>
        <w:t>Non-MySuper accumulation products where the decisions</w:t>
      </w:r>
      <w:r>
        <w:rPr>
          <w:lang w:val="en-GB"/>
        </w:rPr>
        <w:t xml:space="preserve"> </w:t>
      </w:r>
      <w:r w:rsidRPr="008308CF">
        <w:rPr>
          <w:lang w:val="en-GB"/>
        </w:rPr>
        <w:t>of the trustee determine member outcomes will be added from 1 July 2022.</w:t>
      </w:r>
    </w:p>
    <w:p w:rsidR="00251B1A" w:rsidRDefault="00251B1A" w:rsidP="00251B1A">
      <w:pPr>
        <w:pStyle w:val="Heading2"/>
        <w:rPr>
          <w:lang w:val="en-GB"/>
        </w:rPr>
      </w:pPr>
      <w:bookmarkStart w:id="12" w:name="_Toc52955439"/>
      <w:r>
        <w:rPr>
          <w:lang w:val="en-GB"/>
        </w:rPr>
        <w:lastRenderedPageBreak/>
        <w:t>Performance transparency</w:t>
      </w:r>
      <w:bookmarkEnd w:id="12"/>
    </w:p>
    <w:tbl>
      <w:tblPr>
        <w:tblStyle w:val="TableContemporary"/>
        <w:tblW w:w="0" w:type="auto"/>
        <w:tblLook w:val="0400" w:firstRow="0" w:lastRow="0" w:firstColumn="0" w:lastColumn="0" w:noHBand="0" w:noVBand="1"/>
      </w:tblPr>
      <w:tblGrid>
        <w:gridCol w:w="2830"/>
        <w:gridCol w:w="6232"/>
      </w:tblGrid>
      <w:tr w:rsidR="00251B1A" w:rsidRPr="00FF0647" w:rsidTr="00251B1A">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251B1A" w:rsidRPr="00FF0647" w:rsidRDefault="00251B1A" w:rsidP="00251B1A">
            <w:pPr>
              <w:rPr>
                <w:b/>
                <w:bCs/>
                <w:sz w:val="20"/>
                <w:lang w:val="en-GB"/>
              </w:rPr>
            </w:pPr>
            <w:r w:rsidRPr="00FF0647">
              <w:rPr>
                <w:b/>
                <w:bCs/>
                <w:sz w:val="20"/>
                <w:lang w:val="en-GB"/>
              </w:rPr>
              <w:t>Date of effect</w:t>
            </w:r>
          </w:p>
        </w:tc>
        <w:tc>
          <w:tcPr>
            <w:tcW w:w="6232" w:type="dxa"/>
            <w:shd w:val="clear" w:color="auto" w:fill="FFFFFF" w:themeFill="background1"/>
            <w:vAlign w:val="center"/>
          </w:tcPr>
          <w:p w:rsidR="00251B1A" w:rsidRPr="00FF0647" w:rsidRDefault="00251B1A" w:rsidP="00251B1A">
            <w:pPr>
              <w:rPr>
                <w:sz w:val="20"/>
                <w:lang w:val="en-GB"/>
              </w:rPr>
            </w:pPr>
            <w:r>
              <w:rPr>
                <w:sz w:val="20"/>
                <w:lang w:val="en-GB"/>
              </w:rPr>
              <w:t>From July 2021 (MySuper products)</w:t>
            </w:r>
          </w:p>
        </w:tc>
      </w:tr>
    </w:tbl>
    <w:p w:rsidR="00251B1A" w:rsidRPr="0020658D" w:rsidRDefault="00251B1A" w:rsidP="00251B1A">
      <w:pPr>
        <w:rPr>
          <w:lang w:val="en-GB"/>
        </w:rPr>
      </w:pPr>
    </w:p>
    <w:p w:rsidR="00251B1A" w:rsidRDefault="00251B1A" w:rsidP="00251B1A">
      <w:pPr>
        <w:rPr>
          <w:lang w:val="en-GB"/>
        </w:rPr>
      </w:pPr>
      <w:r>
        <w:rPr>
          <w:lang w:val="en-GB"/>
        </w:rPr>
        <w:t xml:space="preserve">A new interactive tool (YourSuper) will enable a comparison of simple super (MySuper) products </w:t>
      </w:r>
      <w:r w:rsidRPr="0020658D">
        <w:rPr>
          <w:lang w:val="en-GB"/>
        </w:rPr>
        <w:t>ranked by fees and investment</w:t>
      </w:r>
      <w:r>
        <w:rPr>
          <w:lang w:val="en-GB"/>
        </w:rPr>
        <w:t xml:space="preserve"> </w:t>
      </w:r>
      <w:r w:rsidRPr="0020658D">
        <w:rPr>
          <w:lang w:val="en-GB"/>
        </w:rPr>
        <w:t>returns.</w:t>
      </w:r>
      <w:r>
        <w:rPr>
          <w:lang w:val="en-GB"/>
        </w:rPr>
        <w:t xml:space="preserve"> The tool will also provide links to other MySuper products and show current super accounts if the individual has more than one.</w:t>
      </w:r>
    </w:p>
    <w:p w:rsidR="00251B1A" w:rsidRDefault="00251B1A" w:rsidP="00251B1A">
      <w:pPr>
        <w:rPr>
          <w:lang w:val="en-GB"/>
        </w:rPr>
      </w:pPr>
    </w:p>
    <w:p w:rsidR="00251B1A" w:rsidRDefault="00251B1A" w:rsidP="00251B1A">
      <w:pPr>
        <w:rPr>
          <w:lang w:val="en-GB"/>
        </w:rPr>
      </w:pPr>
      <w:r>
        <w:t>The tool will be administered by the ATO.</w:t>
      </w:r>
    </w:p>
    <w:p w:rsidR="00251B1A" w:rsidRDefault="00251B1A" w:rsidP="00251B1A">
      <w:pPr>
        <w:pStyle w:val="Heading2"/>
        <w:rPr>
          <w:lang w:val="en-GB"/>
        </w:rPr>
      </w:pPr>
      <w:bookmarkStart w:id="13" w:name="_Toc52955440"/>
      <w:r>
        <w:rPr>
          <w:lang w:val="en-GB"/>
        </w:rPr>
        <w:t>Trustee accountability</w:t>
      </w:r>
      <w:bookmarkEnd w:id="13"/>
    </w:p>
    <w:tbl>
      <w:tblPr>
        <w:tblStyle w:val="TableContemporary"/>
        <w:tblW w:w="0" w:type="auto"/>
        <w:tblLook w:val="0400" w:firstRow="0" w:lastRow="0" w:firstColumn="0" w:lastColumn="0" w:noHBand="0" w:noVBand="1"/>
      </w:tblPr>
      <w:tblGrid>
        <w:gridCol w:w="2830"/>
        <w:gridCol w:w="6232"/>
      </w:tblGrid>
      <w:tr w:rsidR="00251B1A" w:rsidRPr="00FF0647" w:rsidTr="00251B1A">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251B1A" w:rsidRPr="00FF0647" w:rsidRDefault="00251B1A" w:rsidP="00251B1A">
            <w:pPr>
              <w:rPr>
                <w:b/>
                <w:bCs/>
                <w:sz w:val="20"/>
                <w:lang w:val="en-GB"/>
              </w:rPr>
            </w:pPr>
            <w:r w:rsidRPr="00FF0647">
              <w:rPr>
                <w:b/>
                <w:bCs/>
                <w:sz w:val="20"/>
                <w:lang w:val="en-GB"/>
              </w:rPr>
              <w:t>Date of effect</w:t>
            </w:r>
          </w:p>
        </w:tc>
        <w:tc>
          <w:tcPr>
            <w:tcW w:w="6232" w:type="dxa"/>
            <w:shd w:val="clear" w:color="auto" w:fill="FFFFFF" w:themeFill="background1"/>
            <w:vAlign w:val="center"/>
          </w:tcPr>
          <w:p w:rsidR="00251B1A" w:rsidRPr="00FF0647" w:rsidRDefault="00251B1A" w:rsidP="00251B1A">
            <w:pPr>
              <w:rPr>
                <w:sz w:val="20"/>
                <w:lang w:val="en-GB"/>
              </w:rPr>
            </w:pPr>
            <w:r>
              <w:rPr>
                <w:sz w:val="20"/>
                <w:lang w:val="en-GB"/>
              </w:rPr>
              <w:t>By 1 July 2021</w:t>
            </w:r>
          </w:p>
        </w:tc>
      </w:tr>
    </w:tbl>
    <w:p w:rsidR="00251B1A" w:rsidRPr="00BB104E" w:rsidRDefault="00251B1A" w:rsidP="00251B1A">
      <w:pPr>
        <w:rPr>
          <w:lang w:val="en-GB"/>
        </w:rPr>
      </w:pPr>
    </w:p>
    <w:p w:rsidR="00251B1A" w:rsidRDefault="00251B1A" w:rsidP="00251B1A">
      <w:pPr>
        <w:rPr>
          <w:lang w:val="en-GB"/>
        </w:rPr>
      </w:pPr>
      <w:r>
        <w:rPr>
          <w:lang w:val="en-GB"/>
        </w:rPr>
        <w:t xml:space="preserve">The obligations </w:t>
      </w:r>
      <w:r w:rsidRPr="00BB104E">
        <w:rPr>
          <w:lang w:val="en-GB"/>
        </w:rPr>
        <w:t>on superannuation trustees</w:t>
      </w:r>
      <w:r>
        <w:rPr>
          <w:lang w:val="en-GB"/>
        </w:rPr>
        <w:t xml:space="preserve"> will be strengthened </w:t>
      </w:r>
      <w:r w:rsidRPr="00BB104E">
        <w:rPr>
          <w:lang w:val="en-GB"/>
        </w:rPr>
        <w:t>to ensure their actions are</w:t>
      </w:r>
      <w:r>
        <w:rPr>
          <w:lang w:val="en-GB"/>
        </w:rPr>
        <w:t xml:space="preserve"> </w:t>
      </w:r>
      <w:r w:rsidRPr="00BB104E">
        <w:rPr>
          <w:lang w:val="en-GB"/>
        </w:rPr>
        <w:t>consistent with members’ retirement savings</w:t>
      </w:r>
      <w:r w:rsidR="00D01EBB">
        <w:rPr>
          <w:lang w:val="en-GB"/>
        </w:rPr>
        <w:t xml:space="preserve"> being maximised</w:t>
      </w:r>
      <w:r w:rsidRPr="00BB104E">
        <w:rPr>
          <w:lang w:val="en-GB"/>
        </w:rPr>
        <w:t>.</w:t>
      </w:r>
      <w:r>
        <w:rPr>
          <w:lang w:val="en-GB"/>
        </w:rPr>
        <w:t xml:space="preserve"> </w:t>
      </w:r>
      <w:r w:rsidRPr="00BB104E">
        <w:rPr>
          <w:lang w:val="en-GB"/>
        </w:rPr>
        <w:t>By 1 July 2021:</w:t>
      </w:r>
    </w:p>
    <w:p w:rsidR="00251B1A" w:rsidRPr="00BB104E" w:rsidRDefault="00251B1A" w:rsidP="00251B1A">
      <w:pPr>
        <w:rPr>
          <w:lang w:val="en-GB"/>
        </w:rPr>
      </w:pPr>
    </w:p>
    <w:p w:rsidR="00251B1A" w:rsidRPr="00BB104E" w:rsidRDefault="00251B1A" w:rsidP="00251B1A">
      <w:pPr>
        <w:pStyle w:val="ListParagraph"/>
      </w:pPr>
      <w:r w:rsidRPr="00BB104E">
        <w:t>Super</w:t>
      </w:r>
      <w:r w:rsidR="00D01EBB">
        <w:t>annuation</w:t>
      </w:r>
      <w:r w:rsidRPr="00BB104E">
        <w:t xml:space="preserve"> trustees will be required to comply</w:t>
      </w:r>
      <w:r>
        <w:t xml:space="preserve"> </w:t>
      </w:r>
      <w:r w:rsidRPr="00BB104E">
        <w:t>with a new duty to act in the best financial</w:t>
      </w:r>
      <w:r>
        <w:t xml:space="preserve"> </w:t>
      </w:r>
      <w:r w:rsidRPr="00BB104E">
        <w:t>interests of members.</w:t>
      </w:r>
    </w:p>
    <w:p w:rsidR="00251B1A" w:rsidRPr="00BB104E" w:rsidRDefault="00251B1A" w:rsidP="00251B1A">
      <w:pPr>
        <w:pStyle w:val="ListParagraph"/>
      </w:pPr>
      <w:r w:rsidRPr="00BB104E">
        <w:t>Trustees must demonstrate that there was</w:t>
      </w:r>
      <w:r>
        <w:t xml:space="preserve"> </w:t>
      </w:r>
      <w:r w:rsidRPr="00BB104E">
        <w:t>a reasonable basis to support their actions</w:t>
      </w:r>
      <w:r>
        <w:t xml:space="preserve"> </w:t>
      </w:r>
      <w:r w:rsidRPr="00BB104E">
        <w:t>being consistent</w:t>
      </w:r>
      <w:r>
        <w:t xml:space="preserve"> </w:t>
      </w:r>
      <w:r w:rsidRPr="00BB104E">
        <w:t>with members’ best</w:t>
      </w:r>
      <w:r>
        <w:t xml:space="preserve"> </w:t>
      </w:r>
      <w:r w:rsidRPr="00BB104E">
        <w:t>financial interests.</w:t>
      </w:r>
    </w:p>
    <w:p w:rsidR="00251B1A" w:rsidRPr="004E7ECE" w:rsidRDefault="00251B1A" w:rsidP="00251B1A">
      <w:pPr>
        <w:pStyle w:val="ListParagraph"/>
      </w:pPr>
      <w:r w:rsidRPr="00BB104E">
        <w:t>Trustees will provide members with key</w:t>
      </w:r>
      <w:r>
        <w:t xml:space="preserve"> </w:t>
      </w:r>
      <w:r w:rsidRPr="00BB104E">
        <w:t>information regarding how they manage</w:t>
      </w:r>
      <w:r>
        <w:t xml:space="preserve"> </w:t>
      </w:r>
      <w:r w:rsidRPr="00BB104E">
        <w:t>and spend their money in advance of Annual</w:t>
      </w:r>
      <w:r>
        <w:t xml:space="preserve"> </w:t>
      </w:r>
      <w:r w:rsidRPr="00BB104E">
        <w:t>Members’ Meetings.</w:t>
      </w:r>
    </w:p>
    <w:p w:rsidR="00251B1A" w:rsidRPr="00402C9E" w:rsidRDefault="00251B1A" w:rsidP="00251B1A">
      <w:pPr>
        <w:rPr>
          <w:lang w:val="en-GB"/>
        </w:rPr>
      </w:pPr>
    </w:p>
    <w:p w:rsidR="00251B1A" w:rsidRDefault="00251B1A" w:rsidP="00251B1A">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19" w:history="1">
        <w:r w:rsidRPr="004E7ECE">
          <w:rPr>
            <w:rStyle w:val="Hyperlink"/>
            <w:lang w:val="en-GB"/>
          </w:rPr>
          <w:t>Your future, your super - making your super work harder for you</w:t>
        </w:r>
      </w:hyperlink>
    </w:p>
    <w:p w:rsidR="00251B1A" w:rsidRDefault="00251B1A" w:rsidP="00251B1A">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20" w:history="1">
        <w:r w:rsidRPr="004E7ECE">
          <w:rPr>
            <w:rStyle w:val="Hyperlink"/>
            <w:lang w:val="en-GB"/>
          </w:rPr>
          <w:t>Your Future, Your Super</w:t>
        </w:r>
      </w:hyperlink>
    </w:p>
    <w:p w:rsidR="00402C9E" w:rsidRPr="00402C9E" w:rsidRDefault="008F5F4B" w:rsidP="004E7ECE">
      <w:pPr>
        <w:rPr>
          <w:lang w:val="en-GB"/>
        </w:rPr>
      </w:pPr>
      <w:hyperlink r:id="rId21" w:history="1"/>
    </w:p>
    <w:p w:rsidR="00D01EBB" w:rsidRDefault="00D01EBB">
      <w:pPr>
        <w:spacing w:after="200"/>
        <w:rPr>
          <w:rFonts w:eastAsiaTheme="majorEastAsia" w:cstheme="majorBidi"/>
          <w:color w:val="262626" w:themeColor="text1" w:themeTint="D9"/>
          <w:sz w:val="48"/>
          <w:szCs w:val="44"/>
          <w:lang w:val="en-GB"/>
        </w:rPr>
      </w:pPr>
      <w:r>
        <w:rPr>
          <w:lang w:val="en-GB"/>
        </w:rPr>
        <w:br w:type="page"/>
      </w:r>
    </w:p>
    <w:p w:rsidR="007D3321" w:rsidRPr="007D3321" w:rsidRDefault="00A85579" w:rsidP="00B23F79">
      <w:pPr>
        <w:pStyle w:val="Heading1"/>
        <w:rPr>
          <w:lang w:val="en-GB"/>
        </w:rPr>
      </w:pPr>
      <w:bookmarkStart w:id="14" w:name="_Toc52955441"/>
      <w:r w:rsidRPr="00FF0647">
        <w:rPr>
          <w:lang w:val="en-GB"/>
        </w:rPr>
        <w:lastRenderedPageBreak/>
        <w:t>B</w:t>
      </w:r>
      <w:r w:rsidR="00706AD8" w:rsidRPr="00FF0647">
        <w:rPr>
          <w:lang w:val="en-GB"/>
        </w:rPr>
        <w:t>usiness</w:t>
      </w:r>
      <w:r w:rsidRPr="00FF0647">
        <w:rPr>
          <w:lang w:val="en-GB"/>
        </w:rPr>
        <w:t xml:space="preserve"> &amp; </w:t>
      </w:r>
      <w:r w:rsidR="00D01EBB">
        <w:rPr>
          <w:lang w:val="en-GB"/>
        </w:rPr>
        <w:t>E</w:t>
      </w:r>
      <w:r w:rsidRPr="00FF0647">
        <w:rPr>
          <w:lang w:val="en-GB"/>
        </w:rPr>
        <w:t>mployers</w:t>
      </w:r>
      <w:bookmarkEnd w:id="14"/>
    </w:p>
    <w:p w:rsidR="00002863" w:rsidRDefault="00002863" w:rsidP="00002863">
      <w:pPr>
        <w:pStyle w:val="Heading2"/>
        <w:rPr>
          <w:lang w:val="en-GB"/>
        </w:rPr>
      </w:pPr>
      <w:bookmarkStart w:id="15" w:name="_Toc52955442"/>
      <w:r>
        <w:rPr>
          <w:lang w:val="en-GB"/>
        </w:rPr>
        <w:t xml:space="preserve">JobMaker </w:t>
      </w:r>
      <w:r w:rsidR="00D01EBB">
        <w:rPr>
          <w:lang w:val="en-GB"/>
        </w:rPr>
        <w:t>H</w:t>
      </w:r>
      <w:r>
        <w:rPr>
          <w:lang w:val="en-GB"/>
        </w:rPr>
        <w:t xml:space="preserve">iring </w:t>
      </w:r>
      <w:r w:rsidR="00D01EBB">
        <w:rPr>
          <w:lang w:val="en-GB"/>
        </w:rPr>
        <w:t>C</w:t>
      </w:r>
      <w:r>
        <w:rPr>
          <w:lang w:val="en-GB"/>
        </w:rPr>
        <w:t>redit</w:t>
      </w:r>
      <w:bookmarkEnd w:id="15"/>
    </w:p>
    <w:tbl>
      <w:tblPr>
        <w:tblStyle w:val="TableContemporary"/>
        <w:tblW w:w="0" w:type="auto"/>
        <w:tblLook w:val="0400" w:firstRow="0" w:lastRow="0" w:firstColumn="0" w:lastColumn="0" w:noHBand="0" w:noVBand="1"/>
      </w:tblPr>
      <w:tblGrid>
        <w:gridCol w:w="2830"/>
        <w:gridCol w:w="6232"/>
      </w:tblGrid>
      <w:tr w:rsidR="00002863" w:rsidRPr="00FF0647" w:rsidTr="00BD3FB8">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002863" w:rsidRPr="00FF0647" w:rsidRDefault="00002863" w:rsidP="00BD3FB8">
            <w:pPr>
              <w:rPr>
                <w:b/>
                <w:bCs/>
                <w:sz w:val="20"/>
                <w:lang w:val="en-GB"/>
              </w:rPr>
            </w:pPr>
            <w:r w:rsidRPr="00FF0647">
              <w:rPr>
                <w:b/>
                <w:bCs/>
                <w:sz w:val="20"/>
                <w:lang w:val="en-GB"/>
              </w:rPr>
              <w:t>Date of effect</w:t>
            </w:r>
          </w:p>
        </w:tc>
        <w:tc>
          <w:tcPr>
            <w:tcW w:w="6232" w:type="dxa"/>
            <w:shd w:val="clear" w:color="auto" w:fill="FFFFFF" w:themeFill="background1"/>
            <w:vAlign w:val="center"/>
          </w:tcPr>
          <w:p w:rsidR="00002863" w:rsidRPr="00FF0647" w:rsidRDefault="00D01EBB" w:rsidP="00BD3FB8">
            <w:pPr>
              <w:rPr>
                <w:sz w:val="20"/>
                <w:lang w:val="en-GB"/>
              </w:rPr>
            </w:pPr>
            <w:r>
              <w:rPr>
                <w:sz w:val="20"/>
                <w:lang w:val="en-GB"/>
              </w:rPr>
              <w:t xml:space="preserve">From </w:t>
            </w:r>
            <w:r w:rsidR="00002863">
              <w:rPr>
                <w:sz w:val="20"/>
                <w:lang w:val="en-GB"/>
              </w:rPr>
              <w:t>7 October 2020</w:t>
            </w:r>
            <w:r w:rsidR="00D62001">
              <w:rPr>
                <w:sz w:val="20"/>
                <w:lang w:val="en-GB"/>
              </w:rPr>
              <w:t xml:space="preserve"> for 12 months</w:t>
            </w:r>
          </w:p>
        </w:tc>
      </w:tr>
    </w:tbl>
    <w:p w:rsidR="00002863" w:rsidRPr="00002863" w:rsidRDefault="00002863" w:rsidP="00002863">
      <w:pPr>
        <w:rPr>
          <w:lang w:val="en-GB"/>
        </w:rPr>
      </w:pPr>
    </w:p>
    <w:p w:rsidR="00002863" w:rsidRDefault="00002863" w:rsidP="00002863">
      <w:pPr>
        <w:rPr>
          <w:lang w:val="en-GB"/>
        </w:rPr>
      </w:pPr>
      <w:r w:rsidRPr="00002863">
        <w:rPr>
          <w:lang w:val="en-GB"/>
        </w:rPr>
        <w:t>The JobMaker Hiring Credit will be available to eligible</w:t>
      </w:r>
      <w:r>
        <w:rPr>
          <w:lang w:val="en-GB"/>
        </w:rPr>
        <w:t xml:space="preserve"> </w:t>
      </w:r>
      <w:r w:rsidRPr="00002863">
        <w:rPr>
          <w:lang w:val="en-GB"/>
        </w:rPr>
        <w:t>employers over 12 months from 7 October 2020 for each additional new job they create</w:t>
      </w:r>
      <w:r>
        <w:rPr>
          <w:lang w:val="en-GB"/>
        </w:rPr>
        <w:t xml:space="preserve"> </w:t>
      </w:r>
      <w:r w:rsidRPr="00002863">
        <w:rPr>
          <w:lang w:val="en-GB"/>
        </w:rPr>
        <w:t>for an eligible employee.</w:t>
      </w:r>
    </w:p>
    <w:p w:rsidR="005852DE" w:rsidRDefault="005852DE" w:rsidP="00002863">
      <w:pPr>
        <w:rPr>
          <w:lang w:val="en-GB"/>
        </w:rPr>
      </w:pPr>
    </w:p>
    <w:p w:rsidR="00807331" w:rsidRDefault="005852DE" w:rsidP="005852DE">
      <w:pPr>
        <w:rPr>
          <w:lang w:val="en-GB"/>
        </w:rPr>
      </w:pPr>
      <w:r w:rsidRPr="005852DE">
        <w:rPr>
          <w:lang w:val="en-GB"/>
        </w:rPr>
        <w:t>Eligible employers will receive</w:t>
      </w:r>
      <w:r w:rsidR="00691321">
        <w:rPr>
          <w:lang w:val="en-GB"/>
        </w:rPr>
        <w:t>:</w:t>
      </w:r>
    </w:p>
    <w:p w:rsidR="00807331" w:rsidRDefault="005852DE" w:rsidP="00807331">
      <w:pPr>
        <w:pStyle w:val="ListParagraph"/>
      </w:pPr>
      <w:r w:rsidRPr="005852DE">
        <w:t>$200 per week if they hire an eligible</w:t>
      </w:r>
      <w:r>
        <w:t xml:space="preserve"> </w:t>
      </w:r>
      <w:r w:rsidRPr="005852DE">
        <w:t xml:space="preserve">employee aged 16 to 29 years or </w:t>
      </w:r>
    </w:p>
    <w:p w:rsidR="00807331" w:rsidRDefault="005852DE" w:rsidP="00807331">
      <w:pPr>
        <w:pStyle w:val="ListParagraph"/>
      </w:pPr>
      <w:r w:rsidRPr="005852DE">
        <w:t>$100 per week if they hire an eligible employee aged</w:t>
      </w:r>
      <w:r>
        <w:t xml:space="preserve"> </w:t>
      </w:r>
      <w:r w:rsidRPr="005852DE">
        <w:t xml:space="preserve">30 to 35 years. </w:t>
      </w:r>
    </w:p>
    <w:p w:rsidR="00807331" w:rsidRDefault="00807331" w:rsidP="00807331"/>
    <w:p w:rsidR="005852DE" w:rsidRDefault="005852DE" w:rsidP="00807331">
      <w:r w:rsidRPr="005852DE">
        <w:t xml:space="preserve">The JobMaker Hiring Credit </w:t>
      </w:r>
      <w:r w:rsidR="00345A89">
        <w:t xml:space="preserve">will be paid quarterly in arrears. It </w:t>
      </w:r>
      <w:r w:rsidRPr="005852DE">
        <w:t>will be available for up to 12 months from</w:t>
      </w:r>
      <w:r>
        <w:t xml:space="preserve"> </w:t>
      </w:r>
      <w:r w:rsidRPr="005852DE">
        <w:t>the date of employment of the eligible employee with a maximum amount of $10,400 per</w:t>
      </w:r>
      <w:r>
        <w:t xml:space="preserve"> </w:t>
      </w:r>
      <w:r w:rsidRPr="005852DE">
        <w:t>additional new position created.</w:t>
      </w:r>
    </w:p>
    <w:p w:rsidR="00807331" w:rsidRDefault="00807331" w:rsidP="00807331"/>
    <w:p w:rsidR="00807331" w:rsidRPr="005852DE" w:rsidRDefault="00807331" w:rsidP="00807331">
      <w:r>
        <w:t>Employers will need to</w:t>
      </w:r>
      <w:r w:rsidRPr="00807331">
        <w:t xml:space="preserve"> demonstrate that the new employee will increase overall employee headcount and payroll</w:t>
      </w:r>
      <w:r>
        <w:t>.</w:t>
      </w:r>
    </w:p>
    <w:p w:rsidR="005852DE" w:rsidRDefault="005852DE" w:rsidP="005852DE">
      <w:pPr>
        <w:rPr>
          <w:lang w:val="en-GB"/>
        </w:rPr>
      </w:pPr>
    </w:p>
    <w:p w:rsidR="005852DE" w:rsidRPr="00002863" w:rsidRDefault="005852DE" w:rsidP="005852DE">
      <w:pPr>
        <w:rPr>
          <w:lang w:val="en-GB"/>
        </w:rPr>
      </w:pPr>
      <w:r w:rsidRPr="005852DE">
        <w:rPr>
          <w:lang w:val="en-GB"/>
        </w:rPr>
        <w:t>To be eligible, the employee will need to have worked for a minimum of 20 hours per</w:t>
      </w:r>
      <w:r>
        <w:rPr>
          <w:lang w:val="en-GB"/>
        </w:rPr>
        <w:t xml:space="preserve"> </w:t>
      </w:r>
      <w:r w:rsidRPr="005852DE">
        <w:rPr>
          <w:lang w:val="en-GB"/>
        </w:rPr>
        <w:t>week, averaged over a quarter, and received the JobSeeker Payment, Youth Allowance</w:t>
      </w:r>
      <w:r>
        <w:rPr>
          <w:lang w:val="en-GB"/>
        </w:rPr>
        <w:t xml:space="preserve"> </w:t>
      </w:r>
      <w:r w:rsidRPr="005852DE">
        <w:rPr>
          <w:lang w:val="en-GB"/>
        </w:rPr>
        <w:t>(other) or Parenting Payment for at least one month out of the three months prior to</w:t>
      </w:r>
      <w:r>
        <w:rPr>
          <w:lang w:val="en-GB"/>
        </w:rPr>
        <w:t xml:space="preserve"> </w:t>
      </w:r>
      <w:r w:rsidRPr="005852DE">
        <w:rPr>
          <w:lang w:val="en-GB"/>
        </w:rPr>
        <w:t>when they are hired.</w:t>
      </w:r>
    </w:p>
    <w:p w:rsidR="006F5264" w:rsidRPr="00000D78" w:rsidRDefault="006F5264" w:rsidP="00D01EBB">
      <w:pPr>
        <w:pStyle w:val="Heading2"/>
        <w:rPr>
          <w:lang w:val="en-GB"/>
        </w:rPr>
      </w:pPr>
      <w:bookmarkStart w:id="16" w:name="_Toc52955443"/>
      <w:r w:rsidRPr="00000D78">
        <w:rPr>
          <w:lang w:val="en-GB"/>
        </w:rPr>
        <w:t xml:space="preserve">Immediate </w:t>
      </w:r>
      <w:r w:rsidRPr="00D01EBB">
        <w:t>deductions</w:t>
      </w:r>
      <w:r w:rsidRPr="00000D78">
        <w:rPr>
          <w:lang w:val="en-GB"/>
        </w:rPr>
        <w:t xml:space="preserve"> for investment in capital assets</w:t>
      </w:r>
      <w:bookmarkEnd w:id="16"/>
    </w:p>
    <w:tbl>
      <w:tblPr>
        <w:tblStyle w:val="TableContemporary"/>
        <w:tblW w:w="0" w:type="auto"/>
        <w:tblLook w:val="0400" w:firstRow="0" w:lastRow="0" w:firstColumn="0" w:lastColumn="0" w:noHBand="0" w:noVBand="1"/>
      </w:tblPr>
      <w:tblGrid>
        <w:gridCol w:w="2830"/>
        <w:gridCol w:w="6232"/>
      </w:tblGrid>
      <w:tr w:rsidR="006F5264" w:rsidRPr="00FF0647" w:rsidTr="006F5264">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6F5264" w:rsidRPr="00FF0647" w:rsidRDefault="006F5264" w:rsidP="006F5264">
            <w:pPr>
              <w:rPr>
                <w:b/>
                <w:bCs/>
                <w:sz w:val="20"/>
                <w:lang w:val="en-GB"/>
              </w:rPr>
            </w:pPr>
            <w:r w:rsidRPr="00FF0647">
              <w:rPr>
                <w:b/>
                <w:bCs/>
                <w:sz w:val="20"/>
                <w:lang w:val="en-GB"/>
              </w:rPr>
              <w:t>Date of effect</w:t>
            </w:r>
          </w:p>
        </w:tc>
        <w:tc>
          <w:tcPr>
            <w:tcW w:w="6232" w:type="dxa"/>
            <w:shd w:val="clear" w:color="auto" w:fill="FFFFFF" w:themeFill="background1"/>
            <w:vAlign w:val="center"/>
          </w:tcPr>
          <w:p w:rsidR="006F5264" w:rsidRPr="00FF0647" w:rsidRDefault="006F5264" w:rsidP="0065417A">
            <w:pPr>
              <w:rPr>
                <w:sz w:val="20"/>
                <w:lang w:val="en-GB"/>
              </w:rPr>
            </w:pPr>
            <w:r w:rsidRPr="00FF0647">
              <w:rPr>
                <w:sz w:val="20"/>
                <w:lang w:val="en-GB"/>
              </w:rPr>
              <w:t xml:space="preserve">Acquisition of eligible capital assets from 7:30pm AEDT on 6 October 2020 </w:t>
            </w:r>
            <w:r w:rsidR="0065417A" w:rsidRPr="00FF0647">
              <w:rPr>
                <w:sz w:val="20"/>
                <w:lang w:val="en-GB"/>
              </w:rPr>
              <w:t>and first used or installed by 30 June 2022</w:t>
            </w:r>
          </w:p>
        </w:tc>
      </w:tr>
    </w:tbl>
    <w:p w:rsidR="006F5264" w:rsidRPr="00FF0647" w:rsidRDefault="006F5264" w:rsidP="006F5264">
      <w:pPr>
        <w:rPr>
          <w:lang w:val="en-GB"/>
        </w:rPr>
      </w:pPr>
    </w:p>
    <w:p w:rsidR="0098475B" w:rsidRPr="0098475B" w:rsidRDefault="006F5264" w:rsidP="0098475B">
      <w:pPr>
        <w:rPr>
          <w:lang w:val="en-GB"/>
        </w:rPr>
      </w:pPr>
      <w:r w:rsidRPr="00FF0647">
        <w:rPr>
          <w:lang w:val="en-GB"/>
        </w:rPr>
        <w:t xml:space="preserve">The Government is </w:t>
      </w:r>
      <w:r w:rsidR="00AD090C" w:rsidRPr="00FF0647">
        <w:rPr>
          <w:lang w:val="en-GB"/>
        </w:rPr>
        <w:t xml:space="preserve">really </w:t>
      </w:r>
      <w:r w:rsidRPr="00FF0647">
        <w:rPr>
          <w:lang w:val="en-GB"/>
        </w:rPr>
        <w:t xml:space="preserve">keen for business to invest. This measure </w:t>
      </w:r>
      <w:r w:rsidR="00AD090C" w:rsidRPr="00FF0647">
        <w:rPr>
          <w:lang w:val="en-GB"/>
        </w:rPr>
        <w:t>enables</w:t>
      </w:r>
      <w:r w:rsidRPr="00FF0647">
        <w:rPr>
          <w:lang w:val="en-GB"/>
        </w:rPr>
        <w:t xml:space="preserve"> businesses </w:t>
      </w:r>
      <w:r w:rsidR="00AD090C" w:rsidRPr="00FF0647">
        <w:rPr>
          <w:lang w:val="en-GB"/>
        </w:rPr>
        <w:t xml:space="preserve">with an aggregated turnover of less than $5 billion to </w:t>
      </w:r>
      <w:r w:rsidR="00DC1A71" w:rsidRPr="00FF0647">
        <w:rPr>
          <w:lang w:val="en-GB"/>
        </w:rPr>
        <w:t>fully expense</w:t>
      </w:r>
      <w:r w:rsidR="00AD090C" w:rsidRPr="00FF0647">
        <w:rPr>
          <w:lang w:val="en-GB"/>
        </w:rPr>
        <w:t xml:space="preserve"> the </w:t>
      </w:r>
      <w:r w:rsidR="00DC1A71" w:rsidRPr="00FF0647">
        <w:rPr>
          <w:lang w:val="en-GB"/>
        </w:rPr>
        <w:t>cost of</w:t>
      </w:r>
      <w:r w:rsidR="00AD090C" w:rsidRPr="00FF0647">
        <w:rPr>
          <w:lang w:val="en-GB"/>
        </w:rPr>
        <w:t xml:space="preserve"> new depreciable assets and the cost of improvements to existing eligible assets in the </w:t>
      </w:r>
      <w:r w:rsidR="00DC1A71" w:rsidRPr="00FF0647">
        <w:rPr>
          <w:lang w:val="en-GB"/>
        </w:rPr>
        <w:t>first year of use.</w:t>
      </w:r>
      <w:r w:rsidR="0098475B">
        <w:rPr>
          <w:lang w:val="en-GB"/>
        </w:rPr>
        <w:t xml:space="preserve"> </w:t>
      </w:r>
      <w:r w:rsidR="0098475B" w:rsidRPr="0098475B">
        <w:rPr>
          <w:lang w:val="en-GB"/>
        </w:rPr>
        <w:t xml:space="preserve">This means that an asset’s cost will be fully deductible upfront rather than being claimed over the asset’s life. </w:t>
      </w:r>
    </w:p>
    <w:p w:rsidR="0098475B" w:rsidRPr="0098475B" w:rsidRDefault="0098475B" w:rsidP="0098475B">
      <w:pPr>
        <w:rPr>
          <w:lang w:val="en-GB"/>
        </w:rPr>
      </w:pPr>
    </w:p>
    <w:p w:rsidR="00DC1A71" w:rsidRPr="00FF0647" w:rsidRDefault="0098475B" w:rsidP="0098475B">
      <w:pPr>
        <w:rPr>
          <w:lang w:val="en-GB"/>
        </w:rPr>
      </w:pPr>
      <w:r w:rsidRPr="0098475B">
        <w:rPr>
          <w:lang w:val="en-GB"/>
        </w:rPr>
        <w:t>While many businesses were already eligible for an instant asset write-off for asset purchases of up to $150,000, this measure does not cap the asset’s cost, and eligibility for the higher instant asset write-off has been significantly broadened and extended (the existing $150,000 instant asset write-off applies to businesses with turnover less than $500 million and will not apply to purchases after 31 December 2020).</w:t>
      </w:r>
    </w:p>
    <w:p w:rsidR="00DC1A71" w:rsidRPr="00FF0647" w:rsidRDefault="00DC1A71" w:rsidP="00DC1A71">
      <w:pPr>
        <w:pStyle w:val="Heading3"/>
        <w:rPr>
          <w:lang w:val="en-GB"/>
        </w:rPr>
      </w:pPr>
      <w:bookmarkStart w:id="17" w:name="_Toc52955444"/>
      <w:r w:rsidRPr="00FF0647">
        <w:rPr>
          <w:lang w:val="en-GB"/>
        </w:rPr>
        <w:t>Second-hand assets</w:t>
      </w:r>
      <w:bookmarkEnd w:id="17"/>
    </w:p>
    <w:p w:rsidR="00DC1A71" w:rsidRPr="00FF0647" w:rsidRDefault="00DC1A71" w:rsidP="00AD090C">
      <w:pPr>
        <w:rPr>
          <w:lang w:val="en-GB"/>
        </w:rPr>
      </w:pPr>
      <w:r w:rsidRPr="00FF0647">
        <w:rPr>
          <w:lang w:val="en-GB"/>
        </w:rPr>
        <w:t>For businesses with an aggregated turnover under $50 million, full expensing also applies to second-hand assets.</w:t>
      </w:r>
    </w:p>
    <w:p w:rsidR="00DC1A71" w:rsidRPr="00FF0647" w:rsidRDefault="00DC1A71" w:rsidP="00DC1A71">
      <w:pPr>
        <w:rPr>
          <w:lang w:val="en-GB"/>
        </w:rPr>
      </w:pPr>
    </w:p>
    <w:p w:rsidR="00DB68CC" w:rsidRPr="00FF0647" w:rsidRDefault="00DC1A71" w:rsidP="00DC1A71">
      <w:pPr>
        <w:rPr>
          <w:lang w:val="en-GB"/>
        </w:rPr>
      </w:pPr>
      <w:r w:rsidRPr="00FF0647">
        <w:rPr>
          <w:lang w:val="en-GB"/>
        </w:rPr>
        <w:lastRenderedPageBreak/>
        <w:t xml:space="preserve">Businesses with aggregated annual turnover between $50 million and $500 million can still deduct the full cost of eligible second-hand assets costing less than $150,000 that are purchased by 31 December 2020 under the </w:t>
      </w:r>
      <w:r w:rsidR="00000D78">
        <w:rPr>
          <w:lang w:val="en-GB"/>
        </w:rPr>
        <w:t xml:space="preserve">existing </w:t>
      </w:r>
      <w:r w:rsidRPr="00FF0647">
        <w:rPr>
          <w:lang w:val="en-GB"/>
        </w:rPr>
        <w:t>enhanced instant asset write-off. Businesses that hold assets eligible for the enhanced $150,000 instant asset write-off will have an extra six months, until 30 June 2021, to first use or install those assets.</w:t>
      </w:r>
    </w:p>
    <w:p w:rsidR="00DB68CC" w:rsidRPr="00FF0647" w:rsidRDefault="00DB68CC" w:rsidP="00DB68CC">
      <w:pPr>
        <w:pStyle w:val="Heading3"/>
        <w:rPr>
          <w:lang w:val="en-GB"/>
        </w:rPr>
      </w:pPr>
      <w:bookmarkStart w:id="18" w:name="_Toc52955445"/>
      <w:r w:rsidRPr="00FF0647">
        <w:rPr>
          <w:lang w:val="en-GB"/>
        </w:rPr>
        <w:t>Small business pooling</w:t>
      </w:r>
      <w:bookmarkEnd w:id="18"/>
    </w:p>
    <w:p w:rsidR="00000D78" w:rsidRDefault="00000D78" w:rsidP="00000D78">
      <w:pPr>
        <w:rPr>
          <w:lang w:val="en-GB"/>
        </w:rPr>
      </w:pPr>
      <w:r w:rsidRPr="00000D78">
        <w:rPr>
          <w:lang w:val="en-GB"/>
        </w:rPr>
        <w:t>Small business entities (with aggregated annual turnover of less than $10 million) using the simplified depreciation rules can deduct the balance of their simplified depreciation pool at the end of the income year while full expensing applies. The provisions which prevent small businesses from re-entering the simplified depreciation regime for five years if they opt-out will continue to be suspended.</w:t>
      </w:r>
    </w:p>
    <w:p w:rsidR="00CB5E8C" w:rsidRDefault="00CB5E8C" w:rsidP="00000D78">
      <w:pPr>
        <w:rPr>
          <w:lang w:val="en-GB"/>
        </w:rPr>
      </w:pPr>
    </w:p>
    <w:p w:rsidR="00CB5E8C" w:rsidRDefault="00CB5E8C" w:rsidP="00000D78">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22" w:history="1">
        <w:r w:rsidRPr="002F528B">
          <w:rPr>
            <w:rStyle w:val="Hyperlink"/>
            <w:lang w:val="en-GB"/>
          </w:rPr>
          <w:t>ATO</w:t>
        </w:r>
        <w:r w:rsidRPr="00651552">
          <w:rPr>
            <w:rStyle w:val="Hyperlink"/>
            <w:lang w:val="en-GB"/>
          </w:rPr>
          <w:t xml:space="preserve"> document ‘JobMaker Plan – temporary full expensing to support investment and jobs’</w:t>
        </w:r>
      </w:hyperlink>
      <w:hyperlink r:id="rId23" w:history="1"/>
    </w:p>
    <w:p w:rsidR="00000D78" w:rsidRPr="00CB5E8C" w:rsidRDefault="00B911EF" w:rsidP="00691321">
      <w:pPr>
        <w:pStyle w:val="Heading2"/>
        <w:rPr>
          <w:lang w:val="en-GB"/>
        </w:rPr>
      </w:pPr>
      <w:bookmarkStart w:id="19" w:name="_Toc52955446"/>
      <w:r w:rsidRPr="00CB5E8C">
        <w:rPr>
          <w:lang w:val="en-GB"/>
        </w:rPr>
        <w:t xml:space="preserve">Ability for companies to </w:t>
      </w:r>
      <w:r w:rsidRPr="00691321">
        <w:t>carry</w:t>
      </w:r>
      <w:r w:rsidRPr="00CB5E8C">
        <w:rPr>
          <w:lang w:val="en-GB"/>
        </w:rPr>
        <w:t>-back losses</w:t>
      </w:r>
      <w:bookmarkEnd w:id="19"/>
    </w:p>
    <w:tbl>
      <w:tblPr>
        <w:tblStyle w:val="TableContemporary"/>
        <w:tblW w:w="0" w:type="auto"/>
        <w:tblLook w:val="0400" w:firstRow="0" w:lastRow="0" w:firstColumn="0" w:lastColumn="0" w:noHBand="0" w:noVBand="1"/>
      </w:tblPr>
      <w:tblGrid>
        <w:gridCol w:w="2830"/>
        <w:gridCol w:w="6232"/>
      </w:tblGrid>
      <w:tr w:rsidR="00C111FF" w:rsidRPr="00FF0647" w:rsidTr="00344474">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C111FF" w:rsidRPr="00FF0647" w:rsidRDefault="00C111FF" w:rsidP="00344474">
            <w:pPr>
              <w:rPr>
                <w:b/>
                <w:bCs/>
                <w:sz w:val="20"/>
                <w:lang w:val="en-GB"/>
              </w:rPr>
            </w:pPr>
            <w:r w:rsidRPr="00FF0647">
              <w:rPr>
                <w:b/>
                <w:bCs/>
                <w:sz w:val="20"/>
                <w:lang w:val="en-GB"/>
              </w:rPr>
              <w:t>Date of effect</w:t>
            </w:r>
          </w:p>
        </w:tc>
        <w:tc>
          <w:tcPr>
            <w:tcW w:w="6232" w:type="dxa"/>
            <w:shd w:val="clear" w:color="auto" w:fill="FFFFFF" w:themeFill="background1"/>
            <w:vAlign w:val="center"/>
          </w:tcPr>
          <w:p w:rsidR="00C111FF" w:rsidRPr="00FF0647" w:rsidRDefault="006E6993" w:rsidP="00344474">
            <w:pPr>
              <w:rPr>
                <w:sz w:val="20"/>
                <w:lang w:val="en-GB"/>
              </w:rPr>
            </w:pPr>
            <w:r>
              <w:rPr>
                <w:sz w:val="20"/>
                <w:lang w:val="en-GB"/>
              </w:rPr>
              <w:t xml:space="preserve">Losses from the </w:t>
            </w:r>
            <w:r w:rsidRPr="006E6993">
              <w:rPr>
                <w:sz w:val="20"/>
                <w:lang w:val="en-GB"/>
              </w:rPr>
              <w:t>2019-20, 2020-21 or 2021-22 income years</w:t>
            </w:r>
          </w:p>
        </w:tc>
      </w:tr>
    </w:tbl>
    <w:p w:rsidR="00C111FF" w:rsidRDefault="00C111FF" w:rsidP="00C111FF">
      <w:pPr>
        <w:rPr>
          <w:lang w:val="en-GB"/>
        </w:rPr>
      </w:pPr>
    </w:p>
    <w:p w:rsidR="00CB5E8C" w:rsidRDefault="00CB5E8C" w:rsidP="00CB5E8C">
      <w:pPr>
        <w:rPr>
          <w:lang w:val="en-GB"/>
        </w:rPr>
      </w:pPr>
      <w:r>
        <w:rPr>
          <w:lang w:val="en-GB"/>
        </w:rPr>
        <w:t xml:space="preserve">Companies with an aggregated turnover of less than $5 billion will be able to carry back losses </w:t>
      </w:r>
      <w:r w:rsidRPr="00C111FF">
        <w:rPr>
          <w:lang w:val="en-GB"/>
        </w:rPr>
        <w:t>from the 2019-20,</w:t>
      </w:r>
      <w:r>
        <w:rPr>
          <w:lang w:val="en-GB"/>
        </w:rPr>
        <w:t xml:space="preserve"> </w:t>
      </w:r>
      <w:r w:rsidRPr="00C111FF">
        <w:rPr>
          <w:lang w:val="en-GB"/>
        </w:rPr>
        <w:t xml:space="preserve">2020-21 </w:t>
      </w:r>
      <w:r>
        <w:rPr>
          <w:lang w:val="en-GB"/>
        </w:rPr>
        <w:t>and</w:t>
      </w:r>
      <w:r w:rsidRPr="00C111FF">
        <w:rPr>
          <w:lang w:val="en-GB"/>
        </w:rPr>
        <w:t xml:space="preserve"> 2021-22 income years to offset previously taxed profits in </w:t>
      </w:r>
      <w:r>
        <w:rPr>
          <w:lang w:val="en-GB"/>
        </w:rPr>
        <w:t xml:space="preserve">the </w:t>
      </w:r>
      <w:r w:rsidRPr="00C111FF">
        <w:rPr>
          <w:lang w:val="en-GB"/>
        </w:rPr>
        <w:t>2018-19</w:t>
      </w:r>
      <w:r w:rsidRPr="0024333B">
        <w:rPr>
          <w:lang w:val="en-GB"/>
        </w:rPr>
        <w:t>, 2019</w:t>
      </w:r>
      <w:r>
        <w:rPr>
          <w:lang w:val="en-GB"/>
        </w:rPr>
        <w:t>-</w:t>
      </w:r>
      <w:r w:rsidRPr="0024333B">
        <w:rPr>
          <w:lang w:val="en-GB"/>
        </w:rPr>
        <w:t>20 and 2020</w:t>
      </w:r>
      <w:r>
        <w:rPr>
          <w:lang w:val="en-GB"/>
        </w:rPr>
        <w:t>-</w:t>
      </w:r>
      <w:r w:rsidRPr="0024333B">
        <w:rPr>
          <w:lang w:val="en-GB"/>
        </w:rPr>
        <w:t xml:space="preserve">21 </w:t>
      </w:r>
      <w:r>
        <w:rPr>
          <w:lang w:val="en-GB"/>
        </w:rPr>
        <w:t>income</w:t>
      </w:r>
      <w:r w:rsidRPr="0024333B">
        <w:rPr>
          <w:lang w:val="en-GB"/>
        </w:rPr>
        <w:t xml:space="preserve"> years</w:t>
      </w:r>
      <w:r w:rsidRPr="00C111FF">
        <w:rPr>
          <w:lang w:val="en-GB"/>
        </w:rPr>
        <w:t>.</w:t>
      </w:r>
    </w:p>
    <w:p w:rsidR="00CB5E8C" w:rsidRDefault="00CB5E8C" w:rsidP="00CB5E8C">
      <w:pPr>
        <w:rPr>
          <w:lang w:val="en-GB"/>
        </w:rPr>
      </w:pPr>
    </w:p>
    <w:p w:rsidR="00CB5E8C" w:rsidRDefault="00CB5E8C" w:rsidP="00CB5E8C">
      <w:pPr>
        <w:rPr>
          <w:lang w:val="en-GB"/>
        </w:rPr>
      </w:pPr>
      <w:r>
        <w:rPr>
          <w:lang w:val="en-GB"/>
        </w:rPr>
        <w:t>Under this measure t</w:t>
      </w:r>
      <w:r w:rsidRPr="00857517">
        <w:rPr>
          <w:lang w:val="en-GB"/>
        </w:rPr>
        <w:t>ax</w:t>
      </w:r>
      <w:r>
        <w:rPr>
          <w:lang w:val="en-GB"/>
        </w:rPr>
        <w:t xml:space="preserve"> </w:t>
      </w:r>
      <w:r w:rsidRPr="00857517">
        <w:rPr>
          <w:lang w:val="en-GB"/>
        </w:rPr>
        <w:t xml:space="preserve">losses </w:t>
      </w:r>
      <w:r>
        <w:rPr>
          <w:lang w:val="en-GB"/>
        </w:rPr>
        <w:t xml:space="preserve">can be applied </w:t>
      </w:r>
      <w:r w:rsidRPr="00857517">
        <w:rPr>
          <w:lang w:val="en-GB"/>
        </w:rPr>
        <w:t>against taxed profits in a previous year, generating a refundable tax offset in the</w:t>
      </w:r>
      <w:r>
        <w:rPr>
          <w:lang w:val="en-GB"/>
        </w:rPr>
        <w:t xml:space="preserve"> </w:t>
      </w:r>
      <w:r w:rsidRPr="00857517">
        <w:rPr>
          <w:lang w:val="en-GB"/>
        </w:rPr>
        <w:t>year in which the loss is made.</w:t>
      </w:r>
      <w:r>
        <w:rPr>
          <w:lang w:val="en-GB"/>
        </w:rPr>
        <w:t xml:space="preserve"> The </w:t>
      </w:r>
      <w:r w:rsidRPr="00857517">
        <w:rPr>
          <w:lang w:val="en-GB"/>
        </w:rPr>
        <w:t xml:space="preserve">amount carried back </w:t>
      </w:r>
      <w:r>
        <w:rPr>
          <w:lang w:val="en-GB"/>
        </w:rPr>
        <w:t>can be no</w:t>
      </w:r>
      <w:r w:rsidRPr="00857517">
        <w:rPr>
          <w:lang w:val="en-GB"/>
        </w:rPr>
        <w:t xml:space="preserve"> more than the earlier taxed profits</w:t>
      </w:r>
      <w:r>
        <w:rPr>
          <w:lang w:val="en-GB"/>
        </w:rPr>
        <w:t xml:space="preserve">, limiting </w:t>
      </w:r>
      <w:r w:rsidRPr="0024333B">
        <w:rPr>
          <w:lang w:val="en-GB"/>
        </w:rPr>
        <w:t xml:space="preserve">the refund by the </w:t>
      </w:r>
      <w:r>
        <w:rPr>
          <w:lang w:val="en-GB"/>
        </w:rPr>
        <w:t>company’s</w:t>
      </w:r>
      <w:r w:rsidRPr="0024333B">
        <w:rPr>
          <w:lang w:val="en-GB"/>
        </w:rPr>
        <w:t xml:space="preserve"> tax liabilities in the</w:t>
      </w:r>
      <w:r>
        <w:rPr>
          <w:lang w:val="en-GB"/>
        </w:rPr>
        <w:t xml:space="preserve"> profit years. Further, </w:t>
      </w:r>
      <w:r w:rsidRPr="00857517">
        <w:rPr>
          <w:lang w:val="en-GB"/>
        </w:rPr>
        <w:t>the carry back</w:t>
      </w:r>
      <w:r>
        <w:rPr>
          <w:lang w:val="en-GB"/>
        </w:rPr>
        <w:t xml:space="preserve"> cannot</w:t>
      </w:r>
      <w:r w:rsidRPr="00857517">
        <w:rPr>
          <w:lang w:val="en-GB"/>
        </w:rPr>
        <w:t xml:space="preserve"> generate a franking account deficit</w:t>
      </w:r>
      <w:r>
        <w:rPr>
          <w:lang w:val="en-GB"/>
        </w:rPr>
        <w:t xml:space="preserve"> meaning that the refund is further limited by the company’s franking account balance</w:t>
      </w:r>
      <w:r w:rsidRPr="00857517">
        <w:rPr>
          <w:lang w:val="en-GB"/>
        </w:rPr>
        <w:t xml:space="preserve">. </w:t>
      </w:r>
    </w:p>
    <w:p w:rsidR="00CB5E8C" w:rsidRDefault="00CB5E8C" w:rsidP="00CB5E8C">
      <w:pPr>
        <w:rPr>
          <w:lang w:val="en-GB"/>
        </w:rPr>
      </w:pPr>
    </w:p>
    <w:p w:rsidR="00CB5E8C" w:rsidRDefault="00CB5E8C" w:rsidP="00CB5E8C">
      <w:pPr>
        <w:rPr>
          <w:lang w:val="en-GB"/>
        </w:rPr>
      </w:pPr>
      <w:r w:rsidRPr="00857517">
        <w:rPr>
          <w:lang w:val="en-GB"/>
        </w:rPr>
        <w:t>The tax refund will be available on election</w:t>
      </w:r>
      <w:r>
        <w:rPr>
          <w:lang w:val="en-GB"/>
        </w:rPr>
        <w:t xml:space="preserve"> </w:t>
      </w:r>
      <w:r w:rsidRPr="00857517">
        <w:rPr>
          <w:lang w:val="en-GB"/>
        </w:rPr>
        <w:t>by eligible businesses when they lodge their 2020-21 and 2021-22 tax returns.</w:t>
      </w:r>
    </w:p>
    <w:p w:rsidR="00CB5E8C" w:rsidRDefault="00CB5E8C" w:rsidP="00CB5E8C">
      <w:pPr>
        <w:rPr>
          <w:lang w:val="en-GB"/>
        </w:rPr>
      </w:pPr>
    </w:p>
    <w:p w:rsidR="00CB5E8C" w:rsidRDefault="00CB5E8C" w:rsidP="00CB5E8C">
      <w:pPr>
        <w:rPr>
          <w:lang w:val="en-GB"/>
        </w:rPr>
      </w:pPr>
      <w:r w:rsidRPr="007707AC">
        <w:rPr>
          <w:lang w:val="en-GB"/>
        </w:rPr>
        <w:t>Currently, companies are required to carry losses forward to offset profits in future</w:t>
      </w:r>
      <w:r>
        <w:rPr>
          <w:lang w:val="en-GB"/>
        </w:rPr>
        <w:t xml:space="preserve"> </w:t>
      </w:r>
      <w:r w:rsidRPr="007707AC">
        <w:rPr>
          <w:lang w:val="en-GB"/>
        </w:rPr>
        <w:t>years.</w:t>
      </w:r>
      <w:r w:rsidRPr="00074D49">
        <w:rPr>
          <w:lang w:val="en-GB"/>
        </w:rPr>
        <w:t xml:space="preserve"> </w:t>
      </w:r>
      <w:r>
        <w:rPr>
          <w:lang w:val="en-GB"/>
        </w:rPr>
        <w:t>Under the proposed amendments, c</w:t>
      </w:r>
      <w:r w:rsidRPr="00074D49">
        <w:rPr>
          <w:lang w:val="en-GB"/>
        </w:rPr>
        <w:t>ompanies that do not elect to carry back losses can still carry</w:t>
      </w:r>
      <w:r>
        <w:rPr>
          <w:lang w:val="en-GB"/>
        </w:rPr>
        <w:t xml:space="preserve"> </w:t>
      </w:r>
      <w:r w:rsidRPr="00074D49">
        <w:rPr>
          <w:lang w:val="en-GB"/>
        </w:rPr>
        <w:t>losses forward as normal.</w:t>
      </w:r>
    </w:p>
    <w:p w:rsidR="00CB5E8C" w:rsidRDefault="00CB5E8C" w:rsidP="00CB5E8C">
      <w:pPr>
        <w:rPr>
          <w:lang w:val="en-GB"/>
        </w:rPr>
      </w:pPr>
    </w:p>
    <w:p w:rsidR="00CB5E8C" w:rsidRDefault="00CB5E8C" w:rsidP="00CB5E8C">
      <w:pPr>
        <w:rPr>
          <w:lang w:val="en-GB"/>
        </w:rPr>
      </w:pPr>
      <w:r>
        <w:rPr>
          <w:lang w:val="en-GB"/>
        </w:rPr>
        <w:t xml:space="preserve">This </w:t>
      </w:r>
      <w:r w:rsidRPr="0024333B">
        <w:rPr>
          <w:lang w:val="en-GB"/>
        </w:rPr>
        <w:t xml:space="preserve">measure will interact with the </w:t>
      </w:r>
      <w:r>
        <w:rPr>
          <w:lang w:val="en-GB"/>
        </w:rPr>
        <w:t>G</w:t>
      </w:r>
      <w:r w:rsidRPr="0024333B">
        <w:rPr>
          <w:lang w:val="en-GB"/>
        </w:rPr>
        <w:t>overnment</w:t>
      </w:r>
      <w:r>
        <w:rPr>
          <w:lang w:val="en-GB"/>
        </w:rPr>
        <w:t>’s</w:t>
      </w:r>
      <w:r w:rsidRPr="0024333B">
        <w:rPr>
          <w:lang w:val="en-GB"/>
        </w:rPr>
        <w:t xml:space="preserve"> announcement </w:t>
      </w:r>
      <w:r>
        <w:rPr>
          <w:lang w:val="en-GB"/>
        </w:rPr>
        <w:t xml:space="preserve">to allow </w:t>
      </w:r>
      <w:r w:rsidRPr="0024333B">
        <w:rPr>
          <w:lang w:val="en-GB"/>
        </w:rPr>
        <w:t>full expensing</w:t>
      </w:r>
      <w:r>
        <w:rPr>
          <w:lang w:val="en-GB"/>
        </w:rPr>
        <w:t xml:space="preserve"> of</w:t>
      </w:r>
      <w:r w:rsidRPr="0024333B">
        <w:rPr>
          <w:lang w:val="en-GB"/>
        </w:rPr>
        <w:t xml:space="preserve"> investment</w:t>
      </w:r>
      <w:r>
        <w:rPr>
          <w:lang w:val="en-GB"/>
        </w:rPr>
        <w:t>s</w:t>
      </w:r>
      <w:r w:rsidRPr="0024333B">
        <w:rPr>
          <w:lang w:val="en-GB"/>
        </w:rPr>
        <w:t xml:space="preserve"> in capital assets</w:t>
      </w:r>
      <w:r>
        <w:rPr>
          <w:lang w:val="en-GB"/>
        </w:rPr>
        <w:t xml:space="preserve">. The </w:t>
      </w:r>
      <w:r w:rsidRPr="0024333B">
        <w:rPr>
          <w:lang w:val="en-GB"/>
        </w:rPr>
        <w:t xml:space="preserve">new investment </w:t>
      </w:r>
      <w:r>
        <w:rPr>
          <w:lang w:val="en-GB"/>
        </w:rPr>
        <w:t xml:space="preserve">will </w:t>
      </w:r>
      <w:r w:rsidRPr="0024333B">
        <w:rPr>
          <w:lang w:val="en-GB"/>
        </w:rPr>
        <w:t xml:space="preserve">generate significant tax losses </w:t>
      </w:r>
      <w:r>
        <w:rPr>
          <w:lang w:val="en-GB"/>
        </w:rPr>
        <w:t xml:space="preserve">in some cases </w:t>
      </w:r>
      <w:r w:rsidRPr="0024333B">
        <w:rPr>
          <w:lang w:val="en-GB"/>
        </w:rPr>
        <w:t xml:space="preserve">which can then be carried back to generate cash refunds for eligible </w:t>
      </w:r>
      <w:r>
        <w:rPr>
          <w:lang w:val="en-GB"/>
        </w:rPr>
        <w:t>companies</w:t>
      </w:r>
      <w:r w:rsidRPr="0024333B">
        <w:rPr>
          <w:lang w:val="en-GB"/>
        </w:rPr>
        <w:t>.</w:t>
      </w:r>
    </w:p>
    <w:p w:rsidR="00CB5E8C" w:rsidRDefault="00CB5E8C" w:rsidP="00CB5E8C">
      <w:pPr>
        <w:rPr>
          <w:lang w:val="en-GB"/>
        </w:rPr>
      </w:pPr>
    </w:p>
    <w:p w:rsidR="00CB5E8C" w:rsidRDefault="00CB5E8C" w:rsidP="00CB5E8C">
      <w:pPr>
        <w:rPr>
          <w:lang w:val="en-GB"/>
        </w:rPr>
      </w:pPr>
      <w:r>
        <w:rPr>
          <w:lang w:val="en-GB"/>
        </w:rPr>
        <w:t xml:space="preserve">Note that </w:t>
      </w:r>
      <w:r w:rsidRPr="00074D49">
        <w:rPr>
          <w:lang w:val="en-GB"/>
        </w:rPr>
        <w:t xml:space="preserve">loss carry-back </w:t>
      </w:r>
      <w:r>
        <w:rPr>
          <w:lang w:val="en-GB"/>
        </w:rPr>
        <w:t xml:space="preserve">rules were </w:t>
      </w:r>
      <w:r w:rsidRPr="00074D49">
        <w:rPr>
          <w:lang w:val="en-GB"/>
        </w:rPr>
        <w:t>introduced</w:t>
      </w:r>
      <w:r>
        <w:rPr>
          <w:lang w:val="en-GB"/>
        </w:rPr>
        <w:t xml:space="preserve"> some years ago by the</w:t>
      </w:r>
      <w:r w:rsidRPr="00074D49">
        <w:rPr>
          <w:lang w:val="en-GB"/>
        </w:rPr>
        <w:t xml:space="preserve"> Gillard government</w:t>
      </w:r>
      <w:r>
        <w:rPr>
          <w:lang w:val="en-GB"/>
        </w:rPr>
        <w:t xml:space="preserve">.  The </w:t>
      </w:r>
      <w:r>
        <w:t>rules were repealed and were only operational in the 2012-13 year</w:t>
      </w:r>
      <w:r w:rsidRPr="00074D49">
        <w:rPr>
          <w:lang w:val="en-GB"/>
        </w:rPr>
        <w:t>.</w:t>
      </w:r>
    </w:p>
    <w:p w:rsidR="00CB5E8C" w:rsidRDefault="00CB5E8C" w:rsidP="00CB5E8C">
      <w:pPr>
        <w:rPr>
          <w:lang w:val="en-GB"/>
        </w:rPr>
      </w:pPr>
    </w:p>
    <w:p w:rsidR="00CB5E8C" w:rsidRPr="00FF0647" w:rsidRDefault="00CB5E8C" w:rsidP="00CB5E8C">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24" w:history="1">
        <w:r w:rsidRPr="00651552">
          <w:rPr>
            <w:rStyle w:val="Hyperlink"/>
            <w:lang w:val="en-GB"/>
          </w:rPr>
          <w:t>ATO document ‘Loss carry back’</w:t>
        </w:r>
      </w:hyperlink>
      <w:hyperlink r:id="rId25" w:history="1"/>
    </w:p>
    <w:p w:rsidR="00691321" w:rsidRDefault="00691321">
      <w:pPr>
        <w:spacing w:after="200"/>
        <w:rPr>
          <w:rFonts w:eastAsiaTheme="majorEastAsia" w:cstheme="majorBidi"/>
          <w:bCs/>
          <w:color w:val="7F7F7F" w:themeColor="text1" w:themeTint="80"/>
          <w:sz w:val="32"/>
          <w:szCs w:val="26"/>
          <w:lang w:val="en-GB"/>
        </w:rPr>
      </w:pPr>
      <w:r>
        <w:rPr>
          <w:lang w:val="en-GB"/>
        </w:rPr>
        <w:br w:type="page"/>
      </w:r>
    </w:p>
    <w:p w:rsidR="00DE03A9" w:rsidRPr="00344D74" w:rsidRDefault="00DE03A9" w:rsidP="00691321">
      <w:pPr>
        <w:pStyle w:val="Heading2"/>
        <w:rPr>
          <w:lang w:val="en-GB"/>
        </w:rPr>
      </w:pPr>
      <w:bookmarkStart w:id="20" w:name="_Toc52955447"/>
      <w:r w:rsidRPr="00344D74">
        <w:rPr>
          <w:lang w:val="en-GB"/>
        </w:rPr>
        <w:lastRenderedPageBreak/>
        <w:t xml:space="preserve">R&amp;D tax concessions </w:t>
      </w:r>
      <w:r w:rsidR="00503A81" w:rsidRPr="00344D74">
        <w:rPr>
          <w:lang w:val="en-GB"/>
        </w:rPr>
        <w:t xml:space="preserve">injection </w:t>
      </w:r>
      <w:r w:rsidR="00503A81" w:rsidRPr="00691321">
        <w:t>and</w:t>
      </w:r>
      <w:r w:rsidR="00503A81" w:rsidRPr="00344D74">
        <w:rPr>
          <w:lang w:val="en-GB"/>
        </w:rPr>
        <w:t xml:space="preserve"> simplification</w:t>
      </w:r>
      <w:bookmarkEnd w:id="20"/>
    </w:p>
    <w:tbl>
      <w:tblPr>
        <w:tblStyle w:val="TableContemporary"/>
        <w:tblW w:w="0" w:type="auto"/>
        <w:tblLook w:val="0400" w:firstRow="0" w:lastRow="0" w:firstColumn="0" w:lastColumn="0" w:noHBand="0" w:noVBand="1"/>
      </w:tblPr>
      <w:tblGrid>
        <w:gridCol w:w="2830"/>
        <w:gridCol w:w="6232"/>
      </w:tblGrid>
      <w:tr w:rsidR="00DE03A9" w:rsidRPr="00FF0647" w:rsidTr="006F5264">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DE03A9" w:rsidRPr="00FF0647" w:rsidRDefault="00DE03A9" w:rsidP="006F5264">
            <w:pPr>
              <w:rPr>
                <w:b/>
                <w:bCs/>
                <w:sz w:val="20"/>
                <w:lang w:val="en-GB"/>
              </w:rPr>
            </w:pPr>
            <w:r w:rsidRPr="00FF0647">
              <w:rPr>
                <w:b/>
                <w:bCs/>
                <w:sz w:val="20"/>
                <w:lang w:val="en-GB"/>
              </w:rPr>
              <w:t>Date of effect</w:t>
            </w:r>
          </w:p>
        </w:tc>
        <w:tc>
          <w:tcPr>
            <w:tcW w:w="6232" w:type="dxa"/>
            <w:shd w:val="clear" w:color="auto" w:fill="FFFFFF" w:themeFill="background1"/>
            <w:vAlign w:val="center"/>
          </w:tcPr>
          <w:p w:rsidR="00DE03A9" w:rsidRPr="00FF0647" w:rsidRDefault="00DE03A9" w:rsidP="006F5264">
            <w:pPr>
              <w:rPr>
                <w:sz w:val="20"/>
                <w:lang w:val="en-GB"/>
              </w:rPr>
            </w:pPr>
            <w:r w:rsidRPr="00FF0647">
              <w:rPr>
                <w:sz w:val="20"/>
                <w:lang w:val="en-GB"/>
              </w:rPr>
              <w:t>1 July 2021</w:t>
            </w:r>
          </w:p>
        </w:tc>
      </w:tr>
    </w:tbl>
    <w:p w:rsidR="00DE03A9" w:rsidRPr="00FF0647" w:rsidRDefault="00DE03A9" w:rsidP="00DE03A9">
      <w:pPr>
        <w:rPr>
          <w:lang w:val="en-GB"/>
        </w:rPr>
      </w:pPr>
    </w:p>
    <w:p w:rsidR="00DE03A9" w:rsidRPr="00FF0647" w:rsidRDefault="00DE03A9" w:rsidP="00DE03A9">
      <w:pPr>
        <w:rPr>
          <w:lang w:val="en-GB"/>
        </w:rPr>
      </w:pPr>
      <w:r w:rsidRPr="00FF0647">
        <w:rPr>
          <w:lang w:val="en-GB"/>
        </w:rPr>
        <w:t xml:space="preserve">The Government has enhanced its proposed shake-up of the R&amp;D system injecting an additional $2 billion through the Research and Development </w:t>
      </w:r>
      <w:r w:rsidR="00344D74">
        <w:rPr>
          <w:lang w:val="en-GB"/>
        </w:rPr>
        <w:t xml:space="preserve">(R&amp;D) </w:t>
      </w:r>
      <w:r w:rsidRPr="00FF0647">
        <w:rPr>
          <w:lang w:val="en-GB"/>
        </w:rPr>
        <w:t xml:space="preserve">Tax Incentive. </w:t>
      </w:r>
    </w:p>
    <w:p w:rsidR="00344D74" w:rsidRDefault="00344D74" w:rsidP="00344D74">
      <w:pPr>
        <w:rPr>
          <w:lang w:val="en-GB"/>
        </w:rPr>
      </w:pPr>
    </w:p>
    <w:p w:rsidR="00344D74" w:rsidRDefault="00344D74" w:rsidP="00344D74">
      <w:pPr>
        <w:rPr>
          <w:lang w:val="en-GB"/>
        </w:rPr>
      </w:pPr>
      <w:r w:rsidRPr="00344D74">
        <w:rPr>
          <w:lang w:val="en-GB"/>
        </w:rPr>
        <w:t>Currently, the R&amp;D Tax Incentive provides the following in respect of eligible R&amp;D activities (for the first $100 million of eligible expenditure):</w:t>
      </w:r>
    </w:p>
    <w:p w:rsidR="00691321" w:rsidRPr="00344D74" w:rsidRDefault="00691321" w:rsidP="00344D74">
      <w:pPr>
        <w:rPr>
          <w:lang w:val="en-GB"/>
        </w:rPr>
      </w:pPr>
    </w:p>
    <w:p w:rsidR="00344D74" w:rsidRPr="00344D74" w:rsidRDefault="00344D74" w:rsidP="00344D74">
      <w:pPr>
        <w:pStyle w:val="ListParagraph"/>
      </w:pPr>
      <w:r w:rsidRPr="00344D74">
        <w:t>a 43.5% refundable offset for eligible companies with aggregated annual turnover less than $20m; and</w:t>
      </w:r>
    </w:p>
    <w:p w:rsidR="00344D74" w:rsidRPr="00344D74" w:rsidRDefault="00344D74" w:rsidP="00344D74">
      <w:pPr>
        <w:pStyle w:val="ListParagraph"/>
      </w:pPr>
      <w:r w:rsidRPr="00344D74">
        <w:t>a 38.5% non-refundable tax offset for all other eligible companies.</w:t>
      </w:r>
    </w:p>
    <w:p w:rsidR="00344D74" w:rsidRPr="00344D74" w:rsidRDefault="00344D74" w:rsidP="00344D74">
      <w:pPr>
        <w:rPr>
          <w:lang w:val="en-GB"/>
        </w:rPr>
      </w:pPr>
    </w:p>
    <w:p w:rsidR="00DE03A9" w:rsidRPr="00FF0647" w:rsidRDefault="00344D74" w:rsidP="00344D74">
      <w:pPr>
        <w:rPr>
          <w:lang w:val="en-GB"/>
        </w:rPr>
      </w:pPr>
      <w:r w:rsidRPr="00344D74">
        <w:rPr>
          <w:lang w:val="en-GB"/>
        </w:rPr>
        <w:t xml:space="preserve">Note that the </w:t>
      </w:r>
      <w:hyperlink r:id="rId26" w:history="1">
        <w:r w:rsidRPr="00691321">
          <w:rPr>
            <w:rStyle w:val="Hyperlink"/>
            <w:i/>
            <w:iCs/>
            <w:lang w:val="en-GB"/>
          </w:rPr>
          <w:t>Treasury Laws Amendment (Research and Development Tax Incentive) Bill 2019</w:t>
        </w:r>
      </w:hyperlink>
      <w:r w:rsidRPr="00344D74">
        <w:rPr>
          <w:lang w:val="en-GB"/>
        </w:rPr>
        <w:t xml:space="preserve">, before Parliament at the time the Federal Budget was released, proposed various amendments to the R&amp;D Tax Incentive to take effect from the 2019-20 income year. The Government is now delaying (by two years) and enhancing the proposed changes.  </w:t>
      </w:r>
    </w:p>
    <w:p w:rsidR="00DE03A9" w:rsidRPr="00FF0647" w:rsidRDefault="00DE03A9" w:rsidP="000147A7">
      <w:pPr>
        <w:pStyle w:val="Heading3"/>
        <w:rPr>
          <w:lang w:val="en-GB"/>
        </w:rPr>
      </w:pPr>
      <w:bookmarkStart w:id="21" w:name="_Toc52955448"/>
      <w:r w:rsidRPr="00FF0647">
        <w:rPr>
          <w:lang w:val="en-GB"/>
        </w:rPr>
        <w:t>Companies under $20m</w:t>
      </w:r>
      <w:r w:rsidR="00344D74">
        <w:rPr>
          <w:lang w:val="en-GB"/>
        </w:rPr>
        <w:t xml:space="preserve"> turnover</w:t>
      </w:r>
      <w:bookmarkEnd w:id="21"/>
    </w:p>
    <w:p w:rsidR="00DE03A9" w:rsidRPr="00FF0647" w:rsidRDefault="00DE03A9" w:rsidP="00DE03A9">
      <w:pPr>
        <w:rPr>
          <w:lang w:val="en-GB"/>
        </w:rPr>
      </w:pPr>
      <w:r w:rsidRPr="00FF0647">
        <w:rPr>
          <w:lang w:val="en-GB"/>
        </w:rPr>
        <w:t>For companies with an aggregated annual turnover less than $20 million:</w:t>
      </w:r>
    </w:p>
    <w:p w:rsidR="000147A7" w:rsidRPr="00FF0647" w:rsidRDefault="000147A7" w:rsidP="00DE03A9">
      <w:pPr>
        <w:rPr>
          <w:lang w:val="en-GB"/>
        </w:rPr>
      </w:pPr>
    </w:p>
    <w:p w:rsidR="000147A7" w:rsidRPr="00FF0647" w:rsidRDefault="000147A7" w:rsidP="000147A7">
      <w:pPr>
        <w:pStyle w:val="ListParagraph"/>
      </w:pPr>
      <w:r w:rsidRPr="00FF0647">
        <w:t>The refundable R&amp;D tax offset is being set at 18.5 percentage points above the claimant’s company tax rate</w:t>
      </w:r>
      <w:r w:rsidR="00344D74">
        <w:t xml:space="preserve"> </w:t>
      </w:r>
      <w:r w:rsidR="00344D74" w:rsidRPr="00344D74">
        <w:t>(an increase from 13.5 percentage points above the claimant’s company tax rate as previously announced)</w:t>
      </w:r>
    </w:p>
    <w:p w:rsidR="000147A7" w:rsidRPr="00FF0647" w:rsidRDefault="000147A7" w:rsidP="00DE03A9">
      <w:pPr>
        <w:pStyle w:val="ListParagraph"/>
      </w:pPr>
      <w:r w:rsidRPr="00FF0647">
        <w:t xml:space="preserve">The previously announced </w:t>
      </w:r>
      <w:r w:rsidR="00DE03A9" w:rsidRPr="00FF0647">
        <w:t>annual $4 million cap on cash refunds for R&amp;D claimants</w:t>
      </w:r>
      <w:r w:rsidRPr="00FF0647">
        <w:t xml:space="preserve"> </w:t>
      </w:r>
      <w:r w:rsidRPr="00FF0647">
        <w:rPr>
          <w:b/>
          <w:bCs/>
        </w:rPr>
        <w:t>will not proceed</w:t>
      </w:r>
      <w:r w:rsidRPr="00FF0647">
        <w:t>.</w:t>
      </w:r>
    </w:p>
    <w:p w:rsidR="00DE03A9" w:rsidRPr="00FF0647" w:rsidRDefault="00DE03A9" w:rsidP="000C7CAD">
      <w:pPr>
        <w:pStyle w:val="Heading3"/>
        <w:rPr>
          <w:lang w:val="en-GB"/>
        </w:rPr>
      </w:pPr>
      <w:bookmarkStart w:id="22" w:name="_Toc52955449"/>
      <w:r w:rsidRPr="00FF0647">
        <w:rPr>
          <w:lang w:val="en-GB"/>
        </w:rPr>
        <w:t>Companies over $20m</w:t>
      </w:r>
      <w:r w:rsidR="0008517D">
        <w:rPr>
          <w:lang w:val="en-GB"/>
        </w:rPr>
        <w:t xml:space="preserve"> turnover</w:t>
      </w:r>
      <w:bookmarkEnd w:id="22"/>
    </w:p>
    <w:p w:rsidR="0008517D" w:rsidRDefault="0008517D" w:rsidP="0008517D">
      <w:pPr>
        <w:rPr>
          <w:lang w:val="en-GB"/>
        </w:rPr>
      </w:pPr>
      <w:r w:rsidRPr="00FF0647">
        <w:rPr>
          <w:lang w:val="en-GB"/>
        </w:rPr>
        <w:t xml:space="preserve">For companies with aggregated annual turnover of $20 million or more, </w:t>
      </w:r>
      <w:r>
        <w:rPr>
          <w:lang w:val="en-GB"/>
        </w:rPr>
        <w:t>the previously announced</w:t>
      </w:r>
      <w:r w:rsidRPr="00FF0647">
        <w:rPr>
          <w:lang w:val="en-GB"/>
        </w:rPr>
        <w:t xml:space="preserve"> R&amp;D</w:t>
      </w:r>
      <w:r>
        <w:rPr>
          <w:lang w:val="en-GB"/>
        </w:rPr>
        <w:t xml:space="preserve"> intensity</w:t>
      </w:r>
      <w:r w:rsidRPr="00FF0647">
        <w:rPr>
          <w:lang w:val="en-GB"/>
        </w:rPr>
        <w:t xml:space="preserve"> premium</w:t>
      </w:r>
      <w:r>
        <w:rPr>
          <w:lang w:val="en-GB"/>
        </w:rPr>
        <w:t>,</w:t>
      </w:r>
      <w:r w:rsidRPr="00FF0647">
        <w:rPr>
          <w:lang w:val="en-GB"/>
        </w:rPr>
        <w:t xml:space="preserve"> </w:t>
      </w:r>
      <w:r>
        <w:rPr>
          <w:lang w:val="en-GB"/>
        </w:rPr>
        <w:t>o</w:t>
      </w:r>
      <w:r w:rsidRPr="00FF0647">
        <w:rPr>
          <w:lang w:val="en-GB"/>
        </w:rPr>
        <w:t xml:space="preserve">riginally intended to apply across three tiers, will now apply </w:t>
      </w:r>
      <w:r>
        <w:rPr>
          <w:lang w:val="en-GB"/>
        </w:rPr>
        <w:t xml:space="preserve">across </w:t>
      </w:r>
      <w:r w:rsidRPr="00FF0647">
        <w:rPr>
          <w:lang w:val="en-GB"/>
        </w:rPr>
        <w:t>two tiers.</w:t>
      </w:r>
    </w:p>
    <w:p w:rsidR="0008517D" w:rsidRDefault="0008517D" w:rsidP="0008517D">
      <w:pPr>
        <w:rPr>
          <w:lang w:val="en-GB"/>
        </w:rPr>
      </w:pPr>
    </w:p>
    <w:p w:rsidR="0008517D" w:rsidRPr="00FF0647" w:rsidRDefault="0008517D" w:rsidP="0008517D">
      <w:pPr>
        <w:rPr>
          <w:lang w:val="en-GB"/>
        </w:rPr>
      </w:pPr>
      <w:r>
        <w:rPr>
          <w:lang w:val="en-GB"/>
        </w:rPr>
        <w:t xml:space="preserve">Note the intensity premium will </w:t>
      </w:r>
      <w:r w:rsidRPr="00FF0647">
        <w:rPr>
          <w:lang w:val="en-GB"/>
        </w:rPr>
        <w:t>tie the rates of the non-refundable R&amp;D tax offset to the incremental intensity of R&amp;D</w:t>
      </w:r>
      <w:r>
        <w:rPr>
          <w:lang w:val="en-GB"/>
        </w:rPr>
        <w:t xml:space="preserve"> </w:t>
      </w:r>
      <w:r w:rsidRPr="00FF0647">
        <w:rPr>
          <w:lang w:val="en-GB"/>
        </w:rPr>
        <w:t>expenditure as a proportion of total expenditure for the year.</w:t>
      </w:r>
      <w:r>
        <w:rPr>
          <w:lang w:val="en-GB"/>
        </w:rPr>
        <w:t xml:space="preserve">  </w:t>
      </w:r>
      <w:r w:rsidRPr="00FF0647">
        <w:rPr>
          <w:lang w:val="en-GB"/>
        </w:rPr>
        <w:t>The marginal R&amp;D premium will be the company’s tax rate plus:</w:t>
      </w:r>
    </w:p>
    <w:p w:rsidR="0008517D" w:rsidRPr="00FF0647" w:rsidRDefault="0008517D" w:rsidP="0008517D">
      <w:pPr>
        <w:rPr>
          <w:lang w:val="en-GB"/>
        </w:rPr>
      </w:pPr>
    </w:p>
    <w:p w:rsidR="0008517D" w:rsidRPr="00FF0647" w:rsidRDefault="0008517D" w:rsidP="0008517D">
      <w:pPr>
        <w:pStyle w:val="ListParagraph"/>
      </w:pPr>
      <w:r w:rsidRPr="00FF0647">
        <w:t>8.5 percentage points above the claimant’s company tax rate for R&amp;D expenditure between 0 per cent and 2 per cent R&amp;D intensity for larger companies</w:t>
      </w:r>
    </w:p>
    <w:p w:rsidR="0008517D" w:rsidRPr="00FF0647" w:rsidRDefault="0008517D" w:rsidP="0008517D">
      <w:pPr>
        <w:pStyle w:val="ListParagraph"/>
      </w:pPr>
      <w:r w:rsidRPr="00FF0647">
        <w:t>16.5 percentage points above the claimant’s company tax rate for R&amp;D expenditure above 2 per cent R&amp;D intensity for larger companies</w:t>
      </w:r>
      <w:r>
        <w:t xml:space="preserve"> (the previously announced intensity premiums varied from 4.5 to </w:t>
      </w:r>
      <w:r w:rsidRPr="004422D8">
        <w:t>12.5</w:t>
      </w:r>
      <w:r>
        <w:t xml:space="preserve"> percentage points)</w:t>
      </w:r>
      <w:r w:rsidRPr="00FF0647">
        <w:t>.</w:t>
      </w:r>
    </w:p>
    <w:p w:rsidR="0008517D" w:rsidRPr="00FF0647" w:rsidRDefault="0008517D" w:rsidP="0008517D">
      <w:pPr>
        <w:rPr>
          <w:lang w:val="en-GB"/>
        </w:rPr>
      </w:pPr>
    </w:p>
    <w:p w:rsidR="0008517D" w:rsidRPr="00FF0647" w:rsidRDefault="0008517D" w:rsidP="0008517D">
      <w:pPr>
        <w:rPr>
          <w:lang w:val="en-GB"/>
        </w:rPr>
      </w:pPr>
      <w:r w:rsidRPr="00FF0647">
        <w:rPr>
          <w:lang w:val="en-GB"/>
        </w:rPr>
        <w:t>The R&amp;D expenditure threshold - the maximum amount of R&amp;D expenditure eligible for concessional R&amp;D</w:t>
      </w:r>
    </w:p>
    <w:p w:rsidR="006F5264" w:rsidRDefault="0008517D" w:rsidP="00DE03A9">
      <w:pPr>
        <w:rPr>
          <w:lang w:val="en-GB"/>
        </w:rPr>
      </w:pPr>
      <w:r w:rsidRPr="00FF0647">
        <w:rPr>
          <w:lang w:val="en-GB"/>
        </w:rPr>
        <w:t>tax offsets - will be increased as intended from $100 million to $150 million per annum.</w:t>
      </w:r>
    </w:p>
    <w:p w:rsidR="00385F4F" w:rsidRPr="00FF0647" w:rsidRDefault="00385F4F" w:rsidP="0022489F">
      <w:pPr>
        <w:pStyle w:val="Heading2"/>
        <w:rPr>
          <w:lang w:val="en-GB"/>
        </w:rPr>
      </w:pPr>
      <w:bookmarkStart w:id="23" w:name="_Toc52955450"/>
      <w:r w:rsidRPr="00FF0647">
        <w:rPr>
          <w:lang w:val="en-GB"/>
        </w:rPr>
        <w:lastRenderedPageBreak/>
        <w:t xml:space="preserve">Access to tax concessions </w:t>
      </w:r>
      <w:r w:rsidRPr="0022489F">
        <w:t>extended</w:t>
      </w:r>
      <w:r w:rsidRPr="00FF0647">
        <w:rPr>
          <w:lang w:val="en-GB"/>
        </w:rPr>
        <w:t xml:space="preserve"> to businesses up to $50m</w:t>
      </w:r>
      <w:bookmarkEnd w:id="23"/>
    </w:p>
    <w:tbl>
      <w:tblPr>
        <w:tblStyle w:val="TableContemporary"/>
        <w:tblW w:w="0" w:type="auto"/>
        <w:tblLook w:val="0400" w:firstRow="0" w:lastRow="0" w:firstColumn="0" w:lastColumn="0" w:noHBand="0" w:noVBand="1"/>
      </w:tblPr>
      <w:tblGrid>
        <w:gridCol w:w="2830"/>
        <w:gridCol w:w="6232"/>
      </w:tblGrid>
      <w:tr w:rsidR="00385F4F" w:rsidRPr="00FF0647" w:rsidTr="00A85579">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385F4F" w:rsidRPr="00FF0647" w:rsidRDefault="00385F4F" w:rsidP="00A85579">
            <w:pPr>
              <w:rPr>
                <w:b/>
                <w:bCs/>
                <w:sz w:val="20"/>
                <w:lang w:val="en-GB"/>
              </w:rPr>
            </w:pPr>
            <w:r w:rsidRPr="00FF0647">
              <w:rPr>
                <w:b/>
                <w:bCs/>
                <w:sz w:val="20"/>
                <w:lang w:val="en-GB"/>
              </w:rPr>
              <w:t>Date of effect</w:t>
            </w:r>
          </w:p>
        </w:tc>
        <w:tc>
          <w:tcPr>
            <w:tcW w:w="6232" w:type="dxa"/>
            <w:shd w:val="clear" w:color="auto" w:fill="FFFFFF" w:themeFill="background1"/>
            <w:vAlign w:val="center"/>
          </w:tcPr>
          <w:p w:rsidR="00385F4F" w:rsidRPr="00FF0647" w:rsidRDefault="00385F4F" w:rsidP="00A85579">
            <w:pPr>
              <w:rPr>
                <w:sz w:val="20"/>
                <w:lang w:val="en-GB"/>
              </w:rPr>
            </w:pPr>
            <w:r w:rsidRPr="00FF0647">
              <w:rPr>
                <w:sz w:val="20"/>
                <w:lang w:val="en-GB"/>
              </w:rPr>
              <w:t>Three phases: 1 July 2020, 1 April 2021, 1 July 2021</w:t>
            </w:r>
          </w:p>
        </w:tc>
      </w:tr>
    </w:tbl>
    <w:p w:rsidR="00385F4F" w:rsidRPr="00FF0647" w:rsidRDefault="00385F4F" w:rsidP="00385F4F">
      <w:pPr>
        <w:rPr>
          <w:lang w:val="en-GB"/>
        </w:rPr>
      </w:pPr>
    </w:p>
    <w:p w:rsidR="00385F4F" w:rsidRPr="00FF0647" w:rsidRDefault="00385F4F">
      <w:pPr>
        <w:spacing w:after="200"/>
        <w:rPr>
          <w:lang w:val="en-GB"/>
        </w:rPr>
      </w:pPr>
      <w:r w:rsidRPr="00FF0647">
        <w:rPr>
          <w:lang w:val="en-GB"/>
        </w:rPr>
        <w:t>Announced pre Budget, a range of generous tax concession</w:t>
      </w:r>
      <w:r w:rsidR="00DF085C" w:rsidRPr="00FF0647">
        <w:rPr>
          <w:lang w:val="en-GB"/>
        </w:rPr>
        <w:t>s</w:t>
      </w:r>
      <w:r w:rsidRPr="00FF0647">
        <w:rPr>
          <w:lang w:val="en-GB"/>
        </w:rPr>
        <w:t xml:space="preserve"> normally only available to small and medium businesses</w:t>
      </w:r>
      <w:r w:rsidR="004C2AB4" w:rsidRPr="00FF0647">
        <w:rPr>
          <w:lang w:val="en-GB"/>
        </w:rPr>
        <w:t>,</w:t>
      </w:r>
      <w:r w:rsidRPr="00FF0647">
        <w:rPr>
          <w:lang w:val="en-GB"/>
        </w:rPr>
        <w:t xml:space="preserve"> </w:t>
      </w:r>
      <w:r w:rsidR="005F3D62" w:rsidRPr="00FF0647">
        <w:rPr>
          <w:lang w:val="en-GB"/>
        </w:rPr>
        <w:t>will be available to businesses with an</w:t>
      </w:r>
      <w:r w:rsidRPr="00FF0647">
        <w:rPr>
          <w:lang w:val="en-GB"/>
        </w:rPr>
        <w:t xml:space="preserve"> aggregated turnover of up to $50 million.</w:t>
      </w:r>
    </w:p>
    <w:p w:rsidR="00DF085C" w:rsidRPr="00FF0647" w:rsidRDefault="00DF085C">
      <w:pPr>
        <w:spacing w:after="200"/>
        <w:rPr>
          <w:lang w:val="en-GB"/>
        </w:rPr>
      </w:pPr>
      <w:r w:rsidRPr="00FF0647">
        <w:rPr>
          <w:lang w:val="en-GB"/>
        </w:rPr>
        <w:t>The expanded concessions will be rolled out in three phases:</w:t>
      </w:r>
    </w:p>
    <w:tbl>
      <w:tblPr>
        <w:tblStyle w:val="TableContemporary"/>
        <w:tblW w:w="0" w:type="auto"/>
        <w:tblLook w:val="0400" w:firstRow="0" w:lastRow="0" w:firstColumn="0" w:lastColumn="0" w:noHBand="0" w:noVBand="1"/>
      </w:tblPr>
      <w:tblGrid>
        <w:gridCol w:w="2830"/>
        <w:gridCol w:w="6232"/>
      </w:tblGrid>
      <w:tr w:rsidR="004C2AB4" w:rsidRPr="00FF0647" w:rsidTr="00A85579">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4C2AB4" w:rsidRPr="00FF0647" w:rsidRDefault="004C2AB4" w:rsidP="00A85579">
            <w:pPr>
              <w:rPr>
                <w:b/>
                <w:bCs/>
                <w:sz w:val="20"/>
                <w:lang w:val="en-GB"/>
              </w:rPr>
            </w:pPr>
            <w:r w:rsidRPr="00FF0647">
              <w:rPr>
                <w:b/>
                <w:bCs/>
                <w:sz w:val="20"/>
                <w:lang w:val="en-GB"/>
              </w:rPr>
              <w:t>From 1 July 2020</w:t>
            </w:r>
          </w:p>
        </w:tc>
        <w:tc>
          <w:tcPr>
            <w:tcW w:w="6232" w:type="dxa"/>
            <w:shd w:val="clear" w:color="auto" w:fill="FFFFFF" w:themeFill="background1"/>
            <w:vAlign w:val="center"/>
          </w:tcPr>
          <w:p w:rsidR="004C2AB4" w:rsidRPr="00FF0647" w:rsidRDefault="004C2AB4" w:rsidP="004E53E5">
            <w:pPr>
              <w:rPr>
                <w:b/>
                <w:bCs/>
                <w:sz w:val="20"/>
                <w:lang w:val="en-GB"/>
              </w:rPr>
            </w:pPr>
            <w:r w:rsidRPr="00FF0647">
              <w:rPr>
                <w:b/>
                <w:bCs/>
                <w:sz w:val="20"/>
                <w:lang w:val="en-GB"/>
              </w:rPr>
              <w:t xml:space="preserve">Immediate deduction for certain start-up expenses </w:t>
            </w:r>
          </w:p>
          <w:p w:rsidR="004C2AB4" w:rsidRPr="00FF0647" w:rsidRDefault="000473C6" w:rsidP="004E53E5">
            <w:pPr>
              <w:rPr>
                <w:sz w:val="20"/>
                <w:lang w:val="en-GB"/>
              </w:rPr>
            </w:pPr>
            <w:r w:rsidRPr="00FF0647">
              <w:rPr>
                <w:sz w:val="20"/>
                <w:lang w:val="en-GB"/>
              </w:rPr>
              <w:t>Eligible n</w:t>
            </w:r>
            <w:r w:rsidR="004C2AB4" w:rsidRPr="00FF0647">
              <w:rPr>
                <w:sz w:val="20"/>
                <w:lang w:val="en-GB"/>
              </w:rPr>
              <w:t>ew businesses can immediately deduct a range of professional expenses required to start up a business – such as professional, legal and accounting advice as well as amounts paid to Government agencies to set up the business entity.</w:t>
            </w:r>
          </w:p>
          <w:p w:rsidR="008D7DB3" w:rsidRPr="00FF0647" w:rsidRDefault="008D7DB3" w:rsidP="004E53E5">
            <w:pPr>
              <w:rPr>
                <w:sz w:val="20"/>
                <w:lang w:val="en-GB"/>
              </w:rPr>
            </w:pPr>
          </w:p>
          <w:p w:rsidR="004C2AB4" w:rsidRPr="00FF0647" w:rsidRDefault="004C2AB4" w:rsidP="004E53E5">
            <w:pPr>
              <w:rPr>
                <w:b/>
                <w:bCs/>
                <w:sz w:val="20"/>
                <w:lang w:val="en-GB"/>
              </w:rPr>
            </w:pPr>
            <w:r w:rsidRPr="00FF0647">
              <w:rPr>
                <w:b/>
                <w:bCs/>
                <w:sz w:val="20"/>
                <w:lang w:val="en-GB"/>
              </w:rPr>
              <w:t>Immediate deduction for prepaid expenditure</w:t>
            </w:r>
          </w:p>
          <w:p w:rsidR="004C2AB4" w:rsidRPr="00FF0647" w:rsidRDefault="004E53E5" w:rsidP="004E53E5">
            <w:pPr>
              <w:rPr>
                <w:lang w:val="en-GB"/>
              </w:rPr>
            </w:pPr>
            <w:r w:rsidRPr="00FF0647">
              <w:rPr>
                <w:sz w:val="20"/>
                <w:lang w:val="en-GB"/>
              </w:rPr>
              <w:t>Eligible business</w:t>
            </w:r>
            <w:r w:rsidR="0008517D">
              <w:rPr>
                <w:sz w:val="20"/>
                <w:lang w:val="en-GB"/>
              </w:rPr>
              <w:t>es</w:t>
            </w:r>
            <w:r w:rsidRPr="00FF0647">
              <w:rPr>
                <w:sz w:val="20"/>
                <w:lang w:val="en-GB"/>
              </w:rPr>
              <w:t xml:space="preserve"> can c</w:t>
            </w:r>
            <w:r w:rsidR="004C2AB4" w:rsidRPr="00FF0647">
              <w:rPr>
                <w:sz w:val="20"/>
                <w:lang w:val="en-GB"/>
              </w:rPr>
              <w:t>hoose to claim an immediate deduction for prepaid expenses where the payment is for a period of service which is 12 months or less and ends in the next income year.</w:t>
            </w:r>
          </w:p>
        </w:tc>
      </w:tr>
      <w:tr w:rsidR="004C2AB4" w:rsidRPr="00FF0647" w:rsidTr="00A85579">
        <w:trPr>
          <w:cnfStyle w:val="000000010000" w:firstRow="0" w:lastRow="0" w:firstColumn="0" w:lastColumn="0" w:oddVBand="0" w:evenVBand="0" w:oddHBand="0" w:evenHBand="1" w:firstRowFirstColumn="0" w:firstRowLastColumn="0" w:lastRowFirstColumn="0" w:lastRowLastColumn="0"/>
          <w:trHeight w:val="340"/>
        </w:trPr>
        <w:tc>
          <w:tcPr>
            <w:tcW w:w="2830" w:type="dxa"/>
            <w:shd w:val="clear" w:color="auto" w:fill="E7F6FD"/>
            <w:vAlign w:val="center"/>
          </w:tcPr>
          <w:p w:rsidR="004C2AB4" w:rsidRPr="00FF0647" w:rsidRDefault="004C2AB4" w:rsidP="004E53E5">
            <w:pPr>
              <w:rPr>
                <w:b/>
                <w:bCs/>
                <w:sz w:val="20"/>
                <w:lang w:val="en-GB"/>
              </w:rPr>
            </w:pPr>
            <w:r w:rsidRPr="00FF0647">
              <w:rPr>
                <w:b/>
                <w:bCs/>
                <w:sz w:val="20"/>
                <w:lang w:val="en-GB"/>
              </w:rPr>
              <w:t>From 1 April 202</w:t>
            </w:r>
            <w:r w:rsidR="00B96BBE" w:rsidRPr="00FF0647">
              <w:rPr>
                <w:b/>
                <w:bCs/>
                <w:sz w:val="20"/>
                <w:lang w:val="en-GB"/>
              </w:rPr>
              <w:t>1</w:t>
            </w:r>
          </w:p>
        </w:tc>
        <w:tc>
          <w:tcPr>
            <w:tcW w:w="6232" w:type="dxa"/>
            <w:shd w:val="clear" w:color="auto" w:fill="FFFFFF" w:themeFill="background1"/>
            <w:vAlign w:val="center"/>
          </w:tcPr>
          <w:p w:rsidR="004C2AB4" w:rsidRPr="00FF0647" w:rsidRDefault="008D7DB3" w:rsidP="004E53E5">
            <w:pPr>
              <w:rPr>
                <w:b/>
                <w:bCs/>
                <w:sz w:val="20"/>
                <w:lang w:val="en-GB"/>
              </w:rPr>
            </w:pPr>
            <w:r w:rsidRPr="00FF0647">
              <w:rPr>
                <w:b/>
                <w:bCs/>
                <w:sz w:val="20"/>
                <w:lang w:val="en-GB"/>
              </w:rPr>
              <w:t>FBT cark parking exemption</w:t>
            </w:r>
          </w:p>
          <w:p w:rsidR="008D7DB3" w:rsidRPr="00FF0647" w:rsidRDefault="004E53E5" w:rsidP="004E53E5">
            <w:pPr>
              <w:rPr>
                <w:sz w:val="20"/>
                <w:lang w:val="en-GB"/>
              </w:rPr>
            </w:pPr>
            <w:r w:rsidRPr="00FF0647">
              <w:rPr>
                <w:sz w:val="20"/>
                <w:lang w:val="en-GB"/>
              </w:rPr>
              <w:t>Eligible employers will be</w:t>
            </w:r>
            <w:r w:rsidR="008D7DB3" w:rsidRPr="00FF0647">
              <w:rPr>
                <w:sz w:val="20"/>
                <w:lang w:val="en-GB"/>
              </w:rPr>
              <w:t xml:space="preserve"> </w:t>
            </w:r>
            <w:r w:rsidRPr="00FF0647">
              <w:rPr>
                <w:sz w:val="20"/>
                <w:lang w:val="en-GB"/>
              </w:rPr>
              <w:t>exempt</w:t>
            </w:r>
            <w:r w:rsidR="008D7DB3" w:rsidRPr="00FF0647">
              <w:rPr>
                <w:sz w:val="20"/>
                <w:lang w:val="en-GB"/>
              </w:rPr>
              <w:t xml:space="preserve"> from FBT on certain car parking benefits provided to employees.</w:t>
            </w:r>
          </w:p>
          <w:p w:rsidR="008D7DB3" w:rsidRPr="00FF0647" w:rsidRDefault="008D7DB3" w:rsidP="004E53E5">
            <w:pPr>
              <w:rPr>
                <w:sz w:val="20"/>
                <w:lang w:val="en-GB"/>
              </w:rPr>
            </w:pPr>
          </w:p>
          <w:p w:rsidR="008D7DB3" w:rsidRPr="00FF0647" w:rsidRDefault="008D7DB3" w:rsidP="004E53E5">
            <w:pPr>
              <w:rPr>
                <w:b/>
                <w:bCs/>
                <w:sz w:val="20"/>
                <w:lang w:val="en-GB"/>
              </w:rPr>
            </w:pPr>
            <w:r w:rsidRPr="00FF0647">
              <w:rPr>
                <w:b/>
                <w:bCs/>
                <w:sz w:val="20"/>
                <w:lang w:val="en-GB"/>
              </w:rPr>
              <w:t>FBT exemption on portable electronic devices</w:t>
            </w:r>
          </w:p>
          <w:p w:rsidR="008D7DB3" w:rsidRPr="00FF0647" w:rsidRDefault="0008517D" w:rsidP="004E53E5">
            <w:pPr>
              <w:rPr>
                <w:sz w:val="20"/>
                <w:lang w:val="en-GB"/>
              </w:rPr>
            </w:pPr>
            <w:r>
              <w:rPr>
                <w:sz w:val="20"/>
                <w:lang w:val="en-GB"/>
              </w:rPr>
              <w:t>Eligible e</w:t>
            </w:r>
            <w:r w:rsidR="008D7DB3" w:rsidRPr="00FF0647">
              <w:rPr>
                <w:sz w:val="20"/>
                <w:lang w:val="en-GB"/>
              </w:rPr>
              <w:t>mployers will be able to provide more than one portable electronic device that is mainly for work use to an employee in a single FBT year and apply an FBT exemption</w:t>
            </w:r>
            <w:r w:rsidR="00B96BBE" w:rsidRPr="00FF0647">
              <w:rPr>
                <w:sz w:val="20"/>
                <w:lang w:val="en-GB"/>
              </w:rPr>
              <w:t xml:space="preserve"> (e.g., phones and laptops).</w:t>
            </w:r>
          </w:p>
        </w:tc>
      </w:tr>
      <w:tr w:rsidR="00B96BBE" w:rsidRPr="00FF0647" w:rsidTr="00A85579">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B96BBE" w:rsidRPr="00FF0647" w:rsidRDefault="00B96BBE" w:rsidP="00A85579">
            <w:pPr>
              <w:rPr>
                <w:b/>
                <w:bCs/>
                <w:sz w:val="20"/>
                <w:lang w:val="en-GB"/>
              </w:rPr>
            </w:pPr>
            <w:r w:rsidRPr="00FF0647">
              <w:rPr>
                <w:b/>
                <w:bCs/>
                <w:sz w:val="20"/>
                <w:lang w:val="en-GB"/>
              </w:rPr>
              <w:t>From 1 July 2021</w:t>
            </w:r>
          </w:p>
        </w:tc>
        <w:tc>
          <w:tcPr>
            <w:tcW w:w="6232" w:type="dxa"/>
            <w:shd w:val="clear" w:color="auto" w:fill="FFFFFF" w:themeFill="background1"/>
            <w:vAlign w:val="center"/>
          </w:tcPr>
          <w:p w:rsidR="00B96BBE" w:rsidRPr="00FF0647" w:rsidRDefault="00B96BBE" w:rsidP="00A85579">
            <w:pPr>
              <w:rPr>
                <w:b/>
                <w:bCs/>
                <w:sz w:val="20"/>
                <w:lang w:val="en-GB"/>
              </w:rPr>
            </w:pPr>
            <w:r w:rsidRPr="00FF0647">
              <w:rPr>
                <w:b/>
                <w:bCs/>
                <w:sz w:val="20"/>
                <w:lang w:val="en-GB"/>
              </w:rPr>
              <w:t>Simplified trading stock</w:t>
            </w:r>
          </w:p>
          <w:p w:rsidR="00A34EDB" w:rsidRPr="00FF0647" w:rsidRDefault="00C14D5F" w:rsidP="00C14D5F">
            <w:pPr>
              <w:rPr>
                <w:sz w:val="20"/>
                <w:lang w:val="en-GB"/>
              </w:rPr>
            </w:pPr>
            <w:r w:rsidRPr="00FF0647">
              <w:rPr>
                <w:sz w:val="20"/>
                <w:lang w:val="en-GB"/>
              </w:rPr>
              <w:t xml:space="preserve">Eligible businesses can choose </w:t>
            </w:r>
            <w:r w:rsidR="00A34EDB" w:rsidRPr="00FF0647">
              <w:rPr>
                <w:sz w:val="20"/>
                <w:lang w:val="en-GB"/>
              </w:rPr>
              <w:t>not to conduct a stocktake if there is a difference of less than $5,000 between the opening value of trading stock and a reasonable estimate of the closing value of trading stock at the end of the income year.</w:t>
            </w:r>
          </w:p>
          <w:p w:rsidR="00B96BBE" w:rsidRPr="00FF0647" w:rsidRDefault="00B96BBE" w:rsidP="00A85579">
            <w:pPr>
              <w:rPr>
                <w:b/>
                <w:bCs/>
                <w:sz w:val="20"/>
                <w:lang w:val="en-GB"/>
              </w:rPr>
            </w:pPr>
          </w:p>
          <w:p w:rsidR="003F54CA" w:rsidRPr="00FF0647" w:rsidRDefault="003F54CA" w:rsidP="003F54CA">
            <w:pPr>
              <w:rPr>
                <w:b/>
                <w:bCs/>
                <w:lang w:val="en-GB"/>
              </w:rPr>
            </w:pPr>
            <w:r w:rsidRPr="00FF0647">
              <w:rPr>
                <w:b/>
                <w:bCs/>
                <w:lang w:val="en-GB"/>
              </w:rPr>
              <w:t>PAYG instalments based on GDP adjustment amount</w:t>
            </w:r>
          </w:p>
          <w:p w:rsidR="00A34EDB" w:rsidRPr="00FF0647" w:rsidRDefault="003F54CA" w:rsidP="003F54CA">
            <w:pPr>
              <w:rPr>
                <w:sz w:val="20"/>
                <w:lang w:val="en-GB"/>
              </w:rPr>
            </w:pPr>
            <w:r w:rsidRPr="00FF0647">
              <w:rPr>
                <w:sz w:val="20"/>
                <w:lang w:val="en-GB"/>
              </w:rPr>
              <w:t>Eligible businesses can pay an ATO calculated PAYG instalment amount based on the last reported income (i.e., as reported in the most recent tax return) adjusted by a GDP adjustment factor. This removes the need to calculate the PAYG instalment each period based on a percentage of instalment income.</w:t>
            </w:r>
          </w:p>
          <w:p w:rsidR="003F54CA" w:rsidRPr="00FF0647" w:rsidRDefault="003F54CA" w:rsidP="003F54CA">
            <w:pPr>
              <w:rPr>
                <w:b/>
                <w:bCs/>
                <w:sz w:val="20"/>
                <w:lang w:val="en-GB"/>
              </w:rPr>
            </w:pPr>
          </w:p>
          <w:p w:rsidR="003F54CA" w:rsidRPr="00FF0647" w:rsidRDefault="003F54CA" w:rsidP="003F54CA">
            <w:pPr>
              <w:rPr>
                <w:b/>
                <w:bCs/>
                <w:sz w:val="20"/>
                <w:lang w:val="en-GB"/>
              </w:rPr>
            </w:pPr>
            <w:r w:rsidRPr="00FF0647">
              <w:rPr>
                <w:b/>
                <w:bCs/>
                <w:sz w:val="20"/>
                <w:lang w:val="en-GB"/>
              </w:rPr>
              <w:t>Settle excise duty and excise-equivalent customs duty monthly</w:t>
            </w:r>
          </w:p>
          <w:p w:rsidR="003F54CA" w:rsidRPr="00FF0647" w:rsidRDefault="003F54CA" w:rsidP="003F54CA">
            <w:pPr>
              <w:rPr>
                <w:sz w:val="20"/>
                <w:lang w:val="en-GB"/>
              </w:rPr>
            </w:pPr>
            <w:r w:rsidRPr="00FF0647">
              <w:rPr>
                <w:sz w:val="20"/>
                <w:lang w:val="en-GB"/>
              </w:rPr>
              <w:t>On eligible goods, this concession enables eligible businesses to apply to defer settlement of their excise duty and excise equivalent customs duty from a weekly to a monthly reporting cycle.</w:t>
            </w:r>
          </w:p>
          <w:p w:rsidR="003F54CA" w:rsidRPr="00FF0647" w:rsidRDefault="003F54CA" w:rsidP="003F54CA">
            <w:pPr>
              <w:rPr>
                <w:sz w:val="20"/>
                <w:lang w:val="en-GB"/>
              </w:rPr>
            </w:pPr>
          </w:p>
          <w:p w:rsidR="003F54CA" w:rsidRPr="00FF0647" w:rsidRDefault="003F54CA" w:rsidP="003F54CA">
            <w:pPr>
              <w:rPr>
                <w:b/>
                <w:bCs/>
                <w:sz w:val="20"/>
                <w:lang w:val="en-GB"/>
              </w:rPr>
            </w:pPr>
            <w:r w:rsidRPr="00FF0647">
              <w:rPr>
                <w:b/>
                <w:bCs/>
                <w:sz w:val="20"/>
                <w:lang w:val="en-GB"/>
              </w:rPr>
              <w:t>Two-year amendment period</w:t>
            </w:r>
          </w:p>
          <w:p w:rsidR="003F54CA" w:rsidRPr="00FF0647" w:rsidRDefault="003F54CA" w:rsidP="003F54CA">
            <w:pPr>
              <w:rPr>
                <w:sz w:val="20"/>
                <w:lang w:val="en-GB"/>
              </w:rPr>
            </w:pPr>
            <w:r w:rsidRPr="00FF0647">
              <w:rPr>
                <w:sz w:val="20"/>
                <w:lang w:val="en-GB"/>
              </w:rPr>
              <w:t>Eligible businesses will have a two-year amendment period apply to income tax assessments, excluding entities that have significant</w:t>
            </w:r>
          </w:p>
          <w:p w:rsidR="003F54CA" w:rsidRPr="00FF0647" w:rsidRDefault="003F54CA" w:rsidP="003F54CA">
            <w:pPr>
              <w:rPr>
                <w:sz w:val="20"/>
                <w:lang w:val="en-GB"/>
              </w:rPr>
            </w:pPr>
            <w:r w:rsidRPr="00FF0647">
              <w:rPr>
                <w:sz w:val="20"/>
                <w:lang w:val="en-GB"/>
              </w:rPr>
              <w:t>international tax dealings or particularly complex affairs.</w:t>
            </w:r>
          </w:p>
          <w:p w:rsidR="003F54CA" w:rsidRPr="00FF0647" w:rsidRDefault="003F54CA" w:rsidP="003F54CA">
            <w:pPr>
              <w:rPr>
                <w:sz w:val="20"/>
                <w:lang w:val="en-GB"/>
              </w:rPr>
            </w:pPr>
          </w:p>
          <w:p w:rsidR="003F54CA" w:rsidRPr="00FF0647" w:rsidRDefault="003F54CA" w:rsidP="003F54CA">
            <w:pPr>
              <w:rPr>
                <w:b/>
                <w:bCs/>
                <w:sz w:val="20"/>
                <w:lang w:val="en-GB"/>
              </w:rPr>
            </w:pPr>
            <w:r w:rsidRPr="00FF0647">
              <w:rPr>
                <w:b/>
                <w:bCs/>
                <w:sz w:val="20"/>
                <w:lang w:val="en-GB"/>
              </w:rPr>
              <w:lastRenderedPageBreak/>
              <w:t>Simplified accounting methods</w:t>
            </w:r>
          </w:p>
          <w:p w:rsidR="00B96BBE" w:rsidRPr="00FF0647" w:rsidRDefault="003F54CA" w:rsidP="003F54CA">
            <w:pPr>
              <w:rPr>
                <w:sz w:val="20"/>
                <w:lang w:val="en-GB"/>
              </w:rPr>
            </w:pPr>
            <w:r w:rsidRPr="00FF0647">
              <w:rPr>
                <w:sz w:val="20"/>
                <w:lang w:val="en-GB"/>
              </w:rPr>
              <w:t>The Commissioner of Taxation’s power to create a simplified accounting method determination for GST purposes will be expanded to apply to eligible businesses below the $50 million aggregated annual turnover threshold.</w:t>
            </w:r>
          </w:p>
        </w:tc>
      </w:tr>
    </w:tbl>
    <w:p w:rsidR="009E232D" w:rsidRPr="00FF0647" w:rsidRDefault="009E232D" w:rsidP="009E232D">
      <w:pPr>
        <w:rPr>
          <w:rFonts w:ascii="Wingdings 3" w:hAnsi="Wingdings 3"/>
          <w:b/>
          <w:bCs/>
          <w:color w:val="34B6E4"/>
          <w:lang w:val="en-GB"/>
        </w:rPr>
      </w:pPr>
    </w:p>
    <w:p w:rsidR="00CF3614" w:rsidRPr="00FF0647" w:rsidRDefault="00CF3614" w:rsidP="00CF3614">
      <w:pPr>
        <w:rPr>
          <w:lang w:val="en-GB"/>
        </w:rPr>
      </w:pPr>
      <w:r w:rsidRPr="00FF0647">
        <w:rPr>
          <w:lang w:val="en-GB"/>
        </w:rPr>
        <w:t>The eligibility turnover thresholds for other small business tax concessions will remain at their current levels.</w:t>
      </w:r>
    </w:p>
    <w:p w:rsidR="00CF3614" w:rsidRPr="00FF0647" w:rsidRDefault="00CF3614" w:rsidP="00CF3614">
      <w:pPr>
        <w:rPr>
          <w:lang w:val="en-GB"/>
        </w:rPr>
      </w:pPr>
    </w:p>
    <w:p w:rsidR="00CB5E8C" w:rsidRDefault="004C2AB4" w:rsidP="009E232D">
      <w:pPr>
        <w:rPr>
          <w:rStyle w:val="Hyperlink"/>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27" w:history="1">
        <w:r w:rsidRPr="00FF0647">
          <w:rPr>
            <w:rStyle w:val="Hyperlink"/>
            <w:lang w:val="en-GB"/>
          </w:rPr>
          <w:t>Expanding access to small business tax concessions to support jobs</w:t>
        </w:r>
      </w:hyperlink>
    </w:p>
    <w:p w:rsidR="004C2AB4" w:rsidRPr="00FF0647" w:rsidRDefault="00CB5E8C" w:rsidP="009E232D">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28" w:history="1">
        <w:r w:rsidRPr="00651552">
          <w:rPr>
            <w:rStyle w:val="Hyperlink"/>
            <w:lang w:val="en-GB"/>
          </w:rPr>
          <w:t>ATO document ‘Increase the small business entity turnover threshold’</w:t>
        </w:r>
      </w:hyperlink>
      <w:hyperlink r:id="rId29" w:history="1"/>
      <w:hyperlink r:id="rId30" w:history="1"/>
    </w:p>
    <w:p w:rsidR="00DF085C" w:rsidRPr="00FF0647" w:rsidRDefault="00046280" w:rsidP="0022489F">
      <w:pPr>
        <w:pStyle w:val="Heading2"/>
        <w:rPr>
          <w:lang w:val="en-GB"/>
        </w:rPr>
      </w:pPr>
      <w:bookmarkStart w:id="24" w:name="_Toc52955451"/>
      <w:r w:rsidRPr="00FF0647">
        <w:rPr>
          <w:lang w:val="en-GB"/>
        </w:rPr>
        <w:t>FBT exemption for retraining and reskilling workers</w:t>
      </w:r>
      <w:bookmarkEnd w:id="24"/>
    </w:p>
    <w:tbl>
      <w:tblPr>
        <w:tblStyle w:val="TableContemporary"/>
        <w:tblW w:w="0" w:type="auto"/>
        <w:tblLook w:val="0400" w:firstRow="0" w:lastRow="0" w:firstColumn="0" w:lastColumn="0" w:noHBand="0" w:noVBand="1"/>
      </w:tblPr>
      <w:tblGrid>
        <w:gridCol w:w="2830"/>
        <w:gridCol w:w="6232"/>
      </w:tblGrid>
      <w:tr w:rsidR="00046280" w:rsidRPr="00FF0647" w:rsidTr="000053CD">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046280" w:rsidRPr="00FF0647" w:rsidRDefault="00046280" w:rsidP="000053CD">
            <w:pPr>
              <w:rPr>
                <w:b/>
                <w:bCs/>
                <w:sz w:val="20"/>
                <w:lang w:val="en-GB"/>
              </w:rPr>
            </w:pPr>
            <w:r w:rsidRPr="00FF0647">
              <w:rPr>
                <w:b/>
                <w:bCs/>
                <w:sz w:val="20"/>
                <w:lang w:val="en-GB"/>
              </w:rPr>
              <w:t>Date of effect</w:t>
            </w:r>
          </w:p>
        </w:tc>
        <w:tc>
          <w:tcPr>
            <w:tcW w:w="6232" w:type="dxa"/>
            <w:shd w:val="clear" w:color="auto" w:fill="FFFFFF" w:themeFill="background1"/>
            <w:vAlign w:val="center"/>
          </w:tcPr>
          <w:p w:rsidR="00046280" w:rsidRPr="00FF0647" w:rsidRDefault="00B1753F" w:rsidP="000053CD">
            <w:pPr>
              <w:rPr>
                <w:sz w:val="20"/>
                <w:lang w:val="en-GB"/>
              </w:rPr>
            </w:pPr>
            <w:r w:rsidRPr="00FF0647">
              <w:rPr>
                <w:sz w:val="20"/>
                <w:lang w:val="en-GB"/>
              </w:rPr>
              <w:t>2 October 2020</w:t>
            </w:r>
          </w:p>
        </w:tc>
      </w:tr>
    </w:tbl>
    <w:p w:rsidR="00046280" w:rsidRPr="00FF0647" w:rsidRDefault="00046280" w:rsidP="00046280">
      <w:pPr>
        <w:rPr>
          <w:lang w:val="en-GB"/>
        </w:rPr>
      </w:pPr>
    </w:p>
    <w:p w:rsidR="00046280" w:rsidRPr="00FF0647" w:rsidRDefault="00046280">
      <w:pPr>
        <w:spacing w:after="200"/>
        <w:rPr>
          <w:lang w:val="en-GB"/>
        </w:rPr>
      </w:pPr>
      <w:r w:rsidRPr="00FF0647">
        <w:rPr>
          <w:lang w:val="en-GB"/>
        </w:rPr>
        <w:t xml:space="preserve">Announced pre Budget, </w:t>
      </w:r>
      <w:r w:rsidR="00B1753F" w:rsidRPr="00FF0647">
        <w:rPr>
          <w:lang w:val="en-GB"/>
        </w:rPr>
        <w:t xml:space="preserve">the Government </w:t>
      </w:r>
      <w:r w:rsidR="004A26CF" w:rsidRPr="00FF0647">
        <w:rPr>
          <w:lang w:val="en-GB"/>
        </w:rPr>
        <w:t>will</w:t>
      </w:r>
      <w:r w:rsidR="00B1753F" w:rsidRPr="00FF0647">
        <w:rPr>
          <w:lang w:val="en-GB"/>
        </w:rPr>
        <w:t xml:space="preserve"> provid</w:t>
      </w:r>
      <w:r w:rsidR="004A26CF" w:rsidRPr="00FF0647">
        <w:rPr>
          <w:lang w:val="en-GB"/>
        </w:rPr>
        <w:t>e</w:t>
      </w:r>
      <w:r w:rsidR="00B1753F" w:rsidRPr="00FF0647">
        <w:rPr>
          <w:lang w:val="en-GB"/>
        </w:rPr>
        <w:t xml:space="preserve"> a Fringe Benefits Tax </w:t>
      </w:r>
      <w:r w:rsidR="003B6349" w:rsidRPr="00FF0647">
        <w:rPr>
          <w:lang w:val="en-GB"/>
        </w:rPr>
        <w:t xml:space="preserve">(FBT) </w:t>
      </w:r>
      <w:r w:rsidR="00B1753F" w:rsidRPr="00FF0647">
        <w:rPr>
          <w:lang w:val="en-GB"/>
        </w:rPr>
        <w:t xml:space="preserve">exemption for employer-provided retraining and reskilling, for employees who are redeployed to a different role in the business. </w:t>
      </w:r>
    </w:p>
    <w:p w:rsidR="00B1753F" w:rsidRPr="00FF0647" w:rsidRDefault="00B1753F">
      <w:pPr>
        <w:spacing w:after="200"/>
        <w:rPr>
          <w:lang w:val="en-GB"/>
        </w:rPr>
      </w:pPr>
      <w:r w:rsidRPr="00FF0647">
        <w:rPr>
          <w:lang w:val="en-GB"/>
        </w:rPr>
        <w:t xml:space="preserve">Currently, if an employer provides a benefit to an employee that is not directly related to their current job, </w:t>
      </w:r>
      <w:r w:rsidR="00C30990" w:rsidRPr="00FF0647">
        <w:rPr>
          <w:lang w:val="en-GB"/>
        </w:rPr>
        <w:t>FBT</w:t>
      </w:r>
      <w:r w:rsidRPr="00FF0647">
        <w:rPr>
          <w:lang w:val="en-GB"/>
        </w:rPr>
        <w:t xml:space="preserve"> applies. This measure enables employers to help employees reskill for a new role or another role with a different employer, </w:t>
      </w:r>
      <w:r w:rsidR="008D6E54" w:rsidRPr="00FF0647">
        <w:rPr>
          <w:lang w:val="en-GB"/>
        </w:rPr>
        <w:t>without incurring FBT</w:t>
      </w:r>
      <w:r w:rsidRPr="00FF0647">
        <w:rPr>
          <w:lang w:val="en-GB"/>
        </w:rPr>
        <w:t>.</w:t>
      </w:r>
    </w:p>
    <w:p w:rsidR="004A3388" w:rsidRPr="00FF0647" w:rsidRDefault="004A3388">
      <w:pPr>
        <w:spacing w:after="200"/>
        <w:rPr>
          <w:lang w:val="en-GB"/>
        </w:rPr>
      </w:pPr>
      <w:r w:rsidRPr="00FF0647">
        <w:rPr>
          <w:lang w:val="en-GB"/>
        </w:rPr>
        <w:t>The exemption does not apply to retraining acquired through salary packaging or training provided through Commonwealth supported places at universities.</w:t>
      </w:r>
      <w:r w:rsidR="006609C6" w:rsidRPr="00FF0647">
        <w:rPr>
          <w:lang w:val="en-GB"/>
        </w:rPr>
        <w:t xml:space="preserve"> The exemption also does not extend to repayments towards Commonwealth student loans.</w:t>
      </w:r>
    </w:p>
    <w:p w:rsidR="006609C6" w:rsidRPr="00FF0647" w:rsidRDefault="006609C6">
      <w:pPr>
        <w:spacing w:after="200"/>
        <w:rPr>
          <w:lang w:val="en-GB"/>
        </w:rPr>
      </w:pPr>
      <w:r w:rsidRPr="00FF0647">
        <w:rPr>
          <w:lang w:val="en-GB"/>
        </w:rPr>
        <w:t xml:space="preserve">The Government will also consult on potential changes to the law to allow a worker to deduct expenses they personally incur to undertake training directed at future employment and skills (current rules that limit deductions to training related to current employment, may act as a disincentive for workers to retrain and reskill).  </w:t>
      </w:r>
    </w:p>
    <w:p w:rsidR="00046280" w:rsidRPr="00FF0647" w:rsidRDefault="00046280" w:rsidP="00046280">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31" w:history="1">
        <w:r w:rsidRPr="00FF0647">
          <w:rPr>
            <w:rStyle w:val="Hyperlink"/>
            <w:lang w:val="en-GB"/>
          </w:rPr>
          <w:t>Boost for skills training with Fringe Benefits Tax exemption</w:t>
        </w:r>
      </w:hyperlink>
      <w:hyperlink r:id="rId32" w:history="1"/>
    </w:p>
    <w:p w:rsidR="00046280" w:rsidRPr="0008517D" w:rsidRDefault="005A1E4B" w:rsidP="0022489F">
      <w:pPr>
        <w:pStyle w:val="Heading2"/>
        <w:rPr>
          <w:lang w:val="en-GB"/>
        </w:rPr>
      </w:pPr>
      <w:bookmarkStart w:id="25" w:name="_Toc52955452"/>
      <w:r w:rsidRPr="0008517D">
        <w:rPr>
          <w:lang w:val="en-GB"/>
        </w:rPr>
        <w:t xml:space="preserve">Corporate residency test </w:t>
      </w:r>
      <w:r w:rsidRPr="0022489F">
        <w:t>changes</w:t>
      </w:r>
      <w:bookmarkEnd w:id="25"/>
    </w:p>
    <w:tbl>
      <w:tblPr>
        <w:tblStyle w:val="TableContemporary"/>
        <w:tblW w:w="0" w:type="auto"/>
        <w:tblLook w:val="0400" w:firstRow="0" w:lastRow="0" w:firstColumn="0" w:lastColumn="0" w:noHBand="0" w:noVBand="1"/>
      </w:tblPr>
      <w:tblGrid>
        <w:gridCol w:w="2830"/>
        <w:gridCol w:w="6232"/>
      </w:tblGrid>
      <w:tr w:rsidR="005A1E4B" w:rsidRPr="00FF0647" w:rsidTr="00FF3FD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5A1E4B" w:rsidRPr="00FF0647" w:rsidRDefault="005A1E4B" w:rsidP="00FF3FD2">
            <w:pPr>
              <w:rPr>
                <w:b/>
                <w:bCs/>
                <w:sz w:val="20"/>
                <w:lang w:val="en-GB"/>
              </w:rPr>
            </w:pPr>
            <w:r w:rsidRPr="00FF0647">
              <w:rPr>
                <w:b/>
                <w:bCs/>
                <w:sz w:val="20"/>
                <w:lang w:val="en-GB"/>
              </w:rPr>
              <w:t>Date of effect</w:t>
            </w:r>
          </w:p>
        </w:tc>
        <w:tc>
          <w:tcPr>
            <w:tcW w:w="6232" w:type="dxa"/>
            <w:shd w:val="clear" w:color="auto" w:fill="FFFFFF" w:themeFill="background1"/>
            <w:vAlign w:val="center"/>
          </w:tcPr>
          <w:p w:rsidR="002B4262" w:rsidRPr="00FF0647" w:rsidRDefault="002B4262" w:rsidP="002B4262">
            <w:pPr>
              <w:rPr>
                <w:sz w:val="20"/>
                <w:lang w:val="en-GB"/>
              </w:rPr>
            </w:pPr>
            <w:r w:rsidRPr="00FF0647">
              <w:rPr>
                <w:sz w:val="20"/>
                <w:lang w:val="en-GB"/>
              </w:rPr>
              <w:t xml:space="preserve">First income year after the date of Royal Assent </w:t>
            </w:r>
          </w:p>
          <w:p w:rsidR="005A1E4B" w:rsidRPr="00FF0647" w:rsidRDefault="002B4262" w:rsidP="002B4262">
            <w:pPr>
              <w:rPr>
                <w:sz w:val="20"/>
                <w:lang w:val="en-GB"/>
              </w:rPr>
            </w:pPr>
            <w:r w:rsidRPr="00FF0647">
              <w:rPr>
                <w:sz w:val="20"/>
                <w:lang w:val="en-GB"/>
              </w:rPr>
              <w:t>Taxpayers have the option to apply the new law from 15 March 2017</w:t>
            </w:r>
          </w:p>
        </w:tc>
      </w:tr>
    </w:tbl>
    <w:p w:rsidR="005A1E4B" w:rsidRPr="00FF0647" w:rsidRDefault="005A1E4B" w:rsidP="005A1E4B">
      <w:pPr>
        <w:rPr>
          <w:lang w:val="en-GB"/>
        </w:rPr>
      </w:pPr>
    </w:p>
    <w:p w:rsidR="001C5D48" w:rsidRPr="00FF0647" w:rsidRDefault="005A1E4B" w:rsidP="005A1E4B">
      <w:pPr>
        <w:spacing w:after="200"/>
        <w:rPr>
          <w:lang w:val="en-GB"/>
        </w:rPr>
      </w:pPr>
      <w:r w:rsidRPr="00FF0647">
        <w:rPr>
          <w:lang w:val="en-GB"/>
        </w:rPr>
        <w:t xml:space="preserve">The corporate residency tests will be clarified so that a company that is incorporated offshore will be treated as an Australian tax resident if it has a ‘significant economic connection to Australia’. This test will be satisfied </w:t>
      </w:r>
      <w:r w:rsidR="001C5D48" w:rsidRPr="00FF0647">
        <w:rPr>
          <w:lang w:val="en-GB"/>
        </w:rPr>
        <w:t>if</w:t>
      </w:r>
      <w:r w:rsidR="006708BC">
        <w:rPr>
          <w:lang w:val="en-GB"/>
        </w:rPr>
        <w:t xml:space="preserve"> both</w:t>
      </w:r>
      <w:r w:rsidR="001C5D48" w:rsidRPr="00FF0647">
        <w:rPr>
          <w:lang w:val="en-GB"/>
        </w:rPr>
        <w:t>:</w:t>
      </w:r>
    </w:p>
    <w:p w:rsidR="001C5D48" w:rsidRPr="00FF0647" w:rsidRDefault="005A1E4B" w:rsidP="001C5D48">
      <w:pPr>
        <w:pStyle w:val="ListParagraph"/>
      </w:pPr>
      <w:r w:rsidRPr="00FF0647">
        <w:t>the company’s core commercial activities are undertaken in Australia</w:t>
      </w:r>
      <w:r w:rsidR="001C5D48" w:rsidRPr="00FF0647">
        <w:t>,</w:t>
      </w:r>
      <w:r w:rsidRPr="00FF0647">
        <w:t xml:space="preserve"> and </w:t>
      </w:r>
    </w:p>
    <w:p w:rsidR="005A1E4B" w:rsidRPr="00FF0647" w:rsidRDefault="006708BC" w:rsidP="001C5D48">
      <w:pPr>
        <w:pStyle w:val="ListParagraph"/>
      </w:pPr>
      <w:r>
        <w:t>i</w:t>
      </w:r>
      <w:r w:rsidR="005A1E4B" w:rsidRPr="00FF0647">
        <w:t>ts central management and control is in Australia.</w:t>
      </w:r>
    </w:p>
    <w:p w:rsidR="00B5380E" w:rsidRPr="00FF0647" w:rsidRDefault="00B5380E" w:rsidP="00B5380E">
      <w:pPr>
        <w:rPr>
          <w:lang w:val="en-GB"/>
        </w:rPr>
      </w:pPr>
    </w:p>
    <w:p w:rsidR="00831159" w:rsidRDefault="00831159" w:rsidP="00831159">
      <w:r>
        <w:lastRenderedPageBreak/>
        <w:t>Note that under current law, where a company is incorporated offshore, it is an Australian resident if both of the following apply:</w:t>
      </w:r>
    </w:p>
    <w:p w:rsidR="00831159" w:rsidRDefault="00831159" w:rsidP="00831159">
      <w:pPr>
        <w:pStyle w:val="ListParagraph"/>
      </w:pPr>
      <w:r w:rsidRPr="009E56FA">
        <w:t>the company carries on business in Australia</w:t>
      </w:r>
      <w:r>
        <w:t>;</w:t>
      </w:r>
      <w:r w:rsidRPr="009E56FA">
        <w:t xml:space="preserve"> and </w:t>
      </w:r>
    </w:p>
    <w:p w:rsidR="00831159" w:rsidRDefault="00831159" w:rsidP="00831159">
      <w:pPr>
        <w:pStyle w:val="ListParagraph"/>
      </w:pPr>
      <w:r w:rsidRPr="009E56FA">
        <w:t>either</w:t>
      </w:r>
      <w:r>
        <w:t>:</w:t>
      </w:r>
      <w:r w:rsidRPr="009E56FA">
        <w:t xml:space="preserve"> </w:t>
      </w:r>
    </w:p>
    <w:p w:rsidR="00831159" w:rsidRDefault="00831159" w:rsidP="00831159">
      <w:pPr>
        <w:pStyle w:val="ListParagraph"/>
        <w:numPr>
          <w:ilvl w:val="1"/>
          <w:numId w:val="44"/>
        </w:numPr>
      </w:pPr>
      <w:r w:rsidRPr="009E56FA">
        <w:t>its central management and control</w:t>
      </w:r>
      <w:r>
        <w:t xml:space="preserve"> </w:t>
      </w:r>
      <w:r w:rsidRPr="009E56FA">
        <w:t>is in Australia</w:t>
      </w:r>
      <w:r>
        <w:t>;</w:t>
      </w:r>
      <w:r w:rsidRPr="009E56FA">
        <w:t xml:space="preserve"> or </w:t>
      </w:r>
    </w:p>
    <w:p w:rsidR="00831159" w:rsidRPr="009E56FA" w:rsidRDefault="00831159" w:rsidP="00831159">
      <w:pPr>
        <w:pStyle w:val="ListParagraph"/>
        <w:numPr>
          <w:ilvl w:val="1"/>
          <w:numId w:val="44"/>
        </w:numPr>
      </w:pPr>
      <w:r w:rsidRPr="009E56FA">
        <w:t xml:space="preserve">its voting power is controlled by Australian resident shareholders. </w:t>
      </w:r>
    </w:p>
    <w:p w:rsidR="00831159" w:rsidRPr="00CB5E8C" w:rsidRDefault="00831159" w:rsidP="00CB5E8C"/>
    <w:p w:rsidR="00CB5E8C" w:rsidRDefault="00831159" w:rsidP="00CB5E8C">
      <w:r w:rsidRPr="00FF0647">
        <w:rPr>
          <w:lang w:val="en-GB"/>
        </w:rPr>
        <w:t>Th</w:t>
      </w:r>
      <w:r>
        <w:rPr>
          <w:lang w:val="en-GB"/>
        </w:rPr>
        <w:t>e</w:t>
      </w:r>
      <w:r w:rsidRPr="00FF0647">
        <w:rPr>
          <w:lang w:val="en-GB"/>
        </w:rPr>
        <w:t xml:space="preserve"> </w:t>
      </w:r>
      <w:r>
        <w:rPr>
          <w:lang w:val="en-GB"/>
        </w:rPr>
        <w:t xml:space="preserve">announced </w:t>
      </w:r>
      <w:r w:rsidRPr="00FF0647">
        <w:rPr>
          <w:lang w:val="en-GB"/>
        </w:rPr>
        <w:t xml:space="preserve">change follows the High Court’s 2016 decision in </w:t>
      </w:r>
      <w:hyperlink r:id="rId33" w:history="1">
        <w:r w:rsidRPr="00FF0647">
          <w:rPr>
            <w:rStyle w:val="Hyperlink"/>
            <w:i/>
            <w:iCs/>
            <w:lang w:val="en-GB"/>
          </w:rPr>
          <w:t>Bywater Investments Ltd v Federal Commissioner of Taxation</w:t>
        </w:r>
      </w:hyperlink>
      <w:r w:rsidRPr="00FF0647">
        <w:rPr>
          <w:lang w:val="en-GB"/>
        </w:rPr>
        <w:t xml:space="preserve"> that departed from the long-held position on the definition of a corporate resident.</w:t>
      </w:r>
      <w:r>
        <w:rPr>
          <w:lang w:val="en-GB"/>
        </w:rPr>
        <w:t xml:space="preserve"> Following this decision, the </w:t>
      </w:r>
      <w:r w:rsidRPr="00436FFA">
        <w:rPr>
          <w:bCs/>
        </w:rPr>
        <w:t xml:space="preserve">ATO issued </w:t>
      </w:r>
      <w:hyperlink r:id="rId34" w:history="1">
        <w:r w:rsidRPr="00DB6C0C">
          <w:rPr>
            <w:rStyle w:val="Hyperlink"/>
            <w:bCs/>
          </w:rPr>
          <w:t>TR 2018/5</w:t>
        </w:r>
      </w:hyperlink>
      <w:r w:rsidRPr="00436FFA">
        <w:rPr>
          <w:bCs/>
        </w:rPr>
        <w:t xml:space="preserve"> effective from 15 March 2017</w:t>
      </w:r>
      <w:r>
        <w:rPr>
          <w:bCs/>
        </w:rPr>
        <w:t xml:space="preserve"> expressing its view that </w:t>
      </w:r>
      <w:r w:rsidRPr="00436FFA">
        <w:t xml:space="preserve">if a company has its </w:t>
      </w:r>
      <w:r>
        <w:rPr>
          <w:rFonts w:cs="Arial"/>
        </w:rPr>
        <w:t>central management and control</w:t>
      </w:r>
      <w:r w:rsidRPr="00436FFA">
        <w:rPr>
          <w:bCs/>
        </w:rPr>
        <w:t xml:space="preserve"> </w:t>
      </w:r>
      <w:r w:rsidRPr="00436FFA">
        <w:t xml:space="preserve">in Australia, and it carries on business, it will carry on business in Australia for the purposes of the </w:t>
      </w:r>
      <w:r>
        <w:rPr>
          <w:rFonts w:cs="Arial"/>
        </w:rPr>
        <w:t>‘central management and control’</w:t>
      </w:r>
      <w:r w:rsidRPr="00436FFA">
        <w:rPr>
          <w:bCs/>
        </w:rPr>
        <w:t xml:space="preserve"> </w:t>
      </w:r>
      <w:r>
        <w:rPr>
          <w:bCs/>
        </w:rPr>
        <w:t xml:space="preserve">test.  In line with this view, a company will be an Australian resident for tax purposes </w:t>
      </w:r>
      <w:r>
        <w:t xml:space="preserve">notwithstanding the fact that no </w:t>
      </w:r>
      <w:r w:rsidRPr="00436FFA">
        <w:t xml:space="preserve">trading or investment operations of the business </w:t>
      </w:r>
      <w:r w:rsidRPr="00CB5E8C">
        <w:t>take</w:t>
      </w:r>
      <w:r w:rsidRPr="00436FFA">
        <w:t xml:space="preserve"> place </w:t>
      </w:r>
      <w:r>
        <w:t xml:space="preserve">here.  This </w:t>
      </w:r>
      <w:r w:rsidRPr="00436FFA">
        <w:t>was not the ATOs previous view set out in the now withdrawn TR 2004/15.</w:t>
      </w:r>
    </w:p>
    <w:p w:rsidR="00CB5E8C" w:rsidRDefault="00CB5E8C" w:rsidP="00CB5E8C">
      <w:pPr>
        <w:rPr>
          <w:b/>
        </w:rPr>
      </w:pPr>
    </w:p>
    <w:p w:rsidR="00831159" w:rsidRPr="00CB5E8C" w:rsidRDefault="00831159" w:rsidP="00CB5E8C">
      <w:pPr>
        <w:rPr>
          <w:b/>
        </w:rPr>
      </w:pPr>
      <w:r>
        <w:rPr>
          <w:lang w:val="en-GB"/>
        </w:rPr>
        <w:t>The Government’s announcement follows t</w:t>
      </w:r>
      <w:r w:rsidRPr="00FF0647">
        <w:rPr>
          <w:lang w:val="en-GB"/>
        </w:rPr>
        <w:t>he Board of Taxation</w:t>
      </w:r>
      <w:r>
        <w:rPr>
          <w:lang w:val="en-GB"/>
        </w:rPr>
        <w:t>’s</w:t>
      </w:r>
      <w:r w:rsidRPr="00FF0647">
        <w:rPr>
          <w:lang w:val="en-GB"/>
        </w:rPr>
        <w:t xml:space="preserve"> subsequent recommend</w:t>
      </w:r>
      <w:r>
        <w:rPr>
          <w:lang w:val="en-GB"/>
        </w:rPr>
        <w:t>ation that</w:t>
      </w:r>
      <w:r w:rsidRPr="00FF0647">
        <w:rPr>
          <w:lang w:val="en-GB"/>
        </w:rPr>
        <w:t xml:space="preserve"> </w:t>
      </w:r>
      <w:r>
        <w:rPr>
          <w:lang w:val="en-GB"/>
        </w:rPr>
        <w:t>amendments</w:t>
      </w:r>
      <w:r w:rsidRPr="00FF0647">
        <w:rPr>
          <w:lang w:val="en-GB"/>
        </w:rPr>
        <w:t xml:space="preserve"> bring the treatment of foreign incorporated companies back to the position pre the 2016 court decision.</w:t>
      </w:r>
    </w:p>
    <w:p w:rsidR="001E1F50" w:rsidRPr="00774D01" w:rsidRDefault="001E1F50" w:rsidP="0022489F">
      <w:pPr>
        <w:pStyle w:val="Heading2"/>
        <w:rPr>
          <w:lang w:val="en-GB"/>
        </w:rPr>
      </w:pPr>
      <w:bookmarkStart w:id="26" w:name="_Toc52955453"/>
      <w:r w:rsidRPr="00774D01">
        <w:rPr>
          <w:lang w:val="en-GB"/>
        </w:rPr>
        <w:t xml:space="preserve">FBT record keeping </w:t>
      </w:r>
      <w:r w:rsidRPr="0022489F">
        <w:t>simplified</w:t>
      </w:r>
      <w:bookmarkEnd w:id="26"/>
    </w:p>
    <w:tbl>
      <w:tblPr>
        <w:tblStyle w:val="TableContemporary"/>
        <w:tblW w:w="0" w:type="auto"/>
        <w:tblLook w:val="0400" w:firstRow="0" w:lastRow="0" w:firstColumn="0" w:lastColumn="0" w:noHBand="0" w:noVBand="1"/>
      </w:tblPr>
      <w:tblGrid>
        <w:gridCol w:w="2830"/>
        <w:gridCol w:w="6232"/>
      </w:tblGrid>
      <w:tr w:rsidR="001E1F50" w:rsidRPr="00FF0647" w:rsidTr="00AA657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1E1F50" w:rsidRPr="00FF0647" w:rsidRDefault="001E1F50" w:rsidP="00AA6572">
            <w:pPr>
              <w:rPr>
                <w:b/>
                <w:bCs/>
                <w:sz w:val="20"/>
                <w:lang w:val="en-GB"/>
              </w:rPr>
            </w:pPr>
            <w:r w:rsidRPr="00FF0647">
              <w:rPr>
                <w:b/>
                <w:bCs/>
                <w:sz w:val="20"/>
                <w:lang w:val="en-GB"/>
              </w:rPr>
              <w:t>Date of effect</w:t>
            </w:r>
          </w:p>
        </w:tc>
        <w:tc>
          <w:tcPr>
            <w:tcW w:w="6232" w:type="dxa"/>
            <w:shd w:val="clear" w:color="auto" w:fill="FFFFFF" w:themeFill="background1"/>
            <w:vAlign w:val="center"/>
          </w:tcPr>
          <w:p w:rsidR="001E1F50" w:rsidRPr="00FF0647" w:rsidRDefault="00774D01" w:rsidP="00AA6572">
            <w:pPr>
              <w:rPr>
                <w:sz w:val="20"/>
                <w:lang w:val="en-GB"/>
              </w:rPr>
            </w:pPr>
            <w:r>
              <w:rPr>
                <w:sz w:val="20"/>
                <w:lang w:val="en-GB"/>
              </w:rPr>
              <w:t xml:space="preserve">First </w:t>
            </w:r>
            <w:r w:rsidR="001E1F50" w:rsidRPr="00FF0647">
              <w:rPr>
                <w:sz w:val="20"/>
                <w:lang w:val="en-GB"/>
              </w:rPr>
              <w:t>FBT year (1 April) after the date of Royal Assent of enabling legislation</w:t>
            </w:r>
          </w:p>
        </w:tc>
      </w:tr>
    </w:tbl>
    <w:p w:rsidR="001E1F50" w:rsidRPr="00FF0647" w:rsidRDefault="001E1F50" w:rsidP="001E1F50">
      <w:pPr>
        <w:rPr>
          <w:lang w:val="en-GB"/>
        </w:rPr>
      </w:pPr>
    </w:p>
    <w:p w:rsidR="00620222" w:rsidRPr="00FF0647" w:rsidRDefault="001E1F50" w:rsidP="001E1F50">
      <w:pPr>
        <w:rPr>
          <w:lang w:val="en-GB"/>
        </w:rPr>
      </w:pPr>
      <w:r w:rsidRPr="00FF0647">
        <w:rPr>
          <w:lang w:val="en-GB"/>
        </w:rPr>
        <w:t>The Tax Commissioner will be given the power to simplify record keeping requirements for fringe benefits tax purpose</w:t>
      </w:r>
      <w:r w:rsidR="006708BC">
        <w:rPr>
          <w:lang w:val="en-GB"/>
        </w:rPr>
        <w:t>s</w:t>
      </w:r>
      <w:r w:rsidRPr="00FF0647">
        <w:rPr>
          <w:lang w:val="en-GB"/>
        </w:rPr>
        <w:t xml:space="preserve"> by enabling employers to rely on existing corporate records, rather than employee declarations and other prescribed records to complete FBT returns.</w:t>
      </w:r>
      <w:r w:rsidR="00351E54" w:rsidRPr="00FF0647">
        <w:rPr>
          <w:lang w:val="en-GB"/>
        </w:rPr>
        <w:t xml:space="preserve"> </w:t>
      </w:r>
    </w:p>
    <w:p w:rsidR="00620222" w:rsidRPr="00EE5A8F" w:rsidRDefault="00620222" w:rsidP="0022489F">
      <w:pPr>
        <w:pStyle w:val="Heading2"/>
        <w:rPr>
          <w:lang w:val="en-GB"/>
        </w:rPr>
      </w:pPr>
      <w:bookmarkStart w:id="27" w:name="_Toc52955454"/>
      <w:r w:rsidRPr="00EE5A8F">
        <w:rPr>
          <w:lang w:val="en-GB"/>
        </w:rPr>
        <w:t xml:space="preserve">Managed investment trust withholding rate standardised across international information </w:t>
      </w:r>
      <w:r w:rsidR="00DA54AF" w:rsidRPr="0022489F">
        <w:t>sharing</w:t>
      </w:r>
      <w:r w:rsidR="00DA54AF" w:rsidRPr="00EE5A8F">
        <w:rPr>
          <w:lang w:val="en-GB"/>
        </w:rPr>
        <w:t xml:space="preserve"> agreements</w:t>
      </w:r>
      <w:bookmarkEnd w:id="27"/>
    </w:p>
    <w:tbl>
      <w:tblPr>
        <w:tblStyle w:val="TableContemporary"/>
        <w:tblW w:w="0" w:type="auto"/>
        <w:tblLook w:val="0400" w:firstRow="0" w:lastRow="0" w:firstColumn="0" w:lastColumn="0" w:noHBand="0" w:noVBand="1"/>
      </w:tblPr>
      <w:tblGrid>
        <w:gridCol w:w="2830"/>
        <w:gridCol w:w="6232"/>
      </w:tblGrid>
      <w:tr w:rsidR="00620222" w:rsidRPr="00FF0647" w:rsidTr="00AA657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620222" w:rsidRPr="00FF0647" w:rsidRDefault="00620222" w:rsidP="00AA6572">
            <w:pPr>
              <w:rPr>
                <w:b/>
                <w:bCs/>
                <w:sz w:val="20"/>
                <w:lang w:val="en-GB"/>
              </w:rPr>
            </w:pPr>
            <w:r w:rsidRPr="00FF0647">
              <w:rPr>
                <w:b/>
                <w:bCs/>
                <w:sz w:val="20"/>
                <w:lang w:val="en-GB"/>
              </w:rPr>
              <w:t>Date of effect</w:t>
            </w:r>
          </w:p>
        </w:tc>
        <w:tc>
          <w:tcPr>
            <w:tcW w:w="6232" w:type="dxa"/>
            <w:shd w:val="clear" w:color="auto" w:fill="FFFFFF" w:themeFill="background1"/>
            <w:vAlign w:val="center"/>
          </w:tcPr>
          <w:p w:rsidR="00620222" w:rsidRPr="00FF0647" w:rsidRDefault="00620222" w:rsidP="00AA6572">
            <w:pPr>
              <w:rPr>
                <w:sz w:val="20"/>
                <w:lang w:val="en-GB"/>
              </w:rPr>
            </w:pPr>
            <w:r w:rsidRPr="00FF0647">
              <w:rPr>
                <w:sz w:val="20"/>
                <w:lang w:val="en-GB"/>
              </w:rPr>
              <w:t>1 July 2021</w:t>
            </w:r>
          </w:p>
        </w:tc>
      </w:tr>
    </w:tbl>
    <w:p w:rsidR="00620222" w:rsidRPr="00FF0647" w:rsidRDefault="00620222" w:rsidP="001E1F50">
      <w:pPr>
        <w:rPr>
          <w:lang w:val="en-GB"/>
        </w:rPr>
      </w:pPr>
    </w:p>
    <w:p w:rsidR="00DA54AF" w:rsidRPr="00FF0647" w:rsidRDefault="00DA54AF" w:rsidP="00DA54AF">
      <w:pPr>
        <w:rPr>
          <w:lang w:val="en-GB"/>
        </w:rPr>
      </w:pPr>
      <w:r w:rsidRPr="00FF0647">
        <w:rPr>
          <w:lang w:val="en-GB"/>
        </w:rPr>
        <w:t>The list of  jurisdictions that have an effective information sharing agreement with Australia will be updated s</w:t>
      </w:r>
      <w:r w:rsidR="00EE5A8F">
        <w:rPr>
          <w:lang w:val="en-GB"/>
        </w:rPr>
        <w:t>uch that</w:t>
      </w:r>
      <w:r w:rsidRPr="00FF0647">
        <w:rPr>
          <w:lang w:val="en-GB"/>
        </w:rPr>
        <w:t xml:space="preserve"> residents of </w:t>
      </w:r>
      <w:r w:rsidR="00EE5A8F">
        <w:rPr>
          <w:lang w:val="en-GB"/>
        </w:rPr>
        <w:t>those</w:t>
      </w:r>
      <w:r w:rsidRPr="00FF0647">
        <w:rPr>
          <w:lang w:val="en-GB"/>
        </w:rPr>
        <w:t xml:space="preserve"> listed jurisdiction</w:t>
      </w:r>
      <w:r w:rsidR="00EE5A8F">
        <w:rPr>
          <w:lang w:val="en-GB"/>
        </w:rPr>
        <w:t>s</w:t>
      </w:r>
      <w:r w:rsidRPr="00FF0647">
        <w:rPr>
          <w:lang w:val="en-GB"/>
        </w:rPr>
        <w:t xml:space="preserve"> are eligible to access the reduced Managed Investment Trust (MIT) withholding tax rate of 15</w:t>
      </w:r>
      <w:r w:rsidR="00EE5A8F">
        <w:rPr>
          <w:lang w:val="en-GB"/>
        </w:rPr>
        <w:t xml:space="preserve">% </w:t>
      </w:r>
      <w:r w:rsidRPr="00FF0647">
        <w:rPr>
          <w:lang w:val="en-GB"/>
        </w:rPr>
        <w:t>on certain distributions, instead of the default rate of 30%.</w:t>
      </w:r>
    </w:p>
    <w:p w:rsidR="00DA54AF" w:rsidRPr="00FF0647" w:rsidRDefault="00DA54AF" w:rsidP="00DA54AF">
      <w:pPr>
        <w:rPr>
          <w:lang w:val="en-GB"/>
        </w:rPr>
      </w:pPr>
    </w:p>
    <w:p w:rsidR="00DA54AF" w:rsidRPr="00FF0647" w:rsidRDefault="00DA54AF" w:rsidP="00DA54AF">
      <w:pPr>
        <w:rPr>
          <w:lang w:val="en-GB"/>
        </w:rPr>
      </w:pPr>
      <w:r w:rsidRPr="00FF0647">
        <w:rPr>
          <w:lang w:val="en-GB"/>
        </w:rPr>
        <w:t>The measure will add the Dominican Republic, Ecuador, El Salvador, Hong Kong, Jamaica, Kuwait, Morocco, North Macedonia and Serbia, and remove Kenya from the existing 122 jurisdictions on the list. These new jurisdictions have entered into information sharing agreements since the previous update in 2019.</w:t>
      </w:r>
    </w:p>
    <w:p w:rsidR="008F0451" w:rsidRPr="00FF0647" w:rsidRDefault="008F0451" w:rsidP="008F0451">
      <w:pPr>
        <w:pStyle w:val="Heading2"/>
        <w:rPr>
          <w:lang w:val="en-GB"/>
        </w:rPr>
      </w:pPr>
      <w:bookmarkStart w:id="28" w:name="_Toc52955455"/>
      <w:r w:rsidRPr="00FF0647">
        <w:rPr>
          <w:lang w:val="en-GB"/>
        </w:rPr>
        <w:lastRenderedPageBreak/>
        <w:t>Victorian business support grants to be tax-free</w:t>
      </w:r>
      <w:bookmarkEnd w:id="28"/>
    </w:p>
    <w:tbl>
      <w:tblPr>
        <w:tblStyle w:val="TableContemporary"/>
        <w:tblW w:w="0" w:type="auto"/>
        <w:tblLook w:val="0400" w:firstRow="0" w:lastRow="0" w:firstColumn="0" w:lastColumn="0" w:noHBand="0" w:noVBand="1"/>
      </w:tblPr>
      <w:tblGrid>
        <w:gridCol w:w="2830"/>
        <w:gridCol w:w="6232"/>
      </w:tblGrid>
      <w:tr w:rsidR="008F0451" w:rsidRPr="00FF0647" w:rsidTr="00FF3FD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8F0451" w:rsidRPr="00FF0647" w:rsidRDefault="008F0451" w:rsidP="00FF3FD2">
            <w:pPr>
              <w:rPr>
                <w:b/>
                <w:bCs/>
                <w:sz w:val="20"/>
                <w:lang w:val="en-GB"/>
              </w:rPr>
            </w:pPr>
            <w:r w:rsidRPr="00FF0647">
              <w:rPr>
                <w:b/>
                <w:bCs/>
                <w:sz w:val="20"/>
                <w:lang w:val="en-GB"/>
              </w:rPr>
              <w:t>Date of effect</w:t>
            </w:r>
          </w:p>
        </w:tc>
        <w:tc>
          <w:tcPr>
            <w:tcW w:w="6232" w:type="dxa"/>
            <w:shd w:val="clear" w:color="auto" w:fill="FFFFFF" w:themeFill="background1"/>
            <w:vAlign w:val="center"/>
          </w:tcPr>
          <w:p w:rsidR="008F0451" w:rsidRPr="00FF0647" w:rsidRDefault="002C20D2" w:rsidP="002C20D2">
            <w:pPr>
              <w:rPr>
                <w:sz w:val="20"/>
                <w:lang w:val="en-GB"/>
              </w:rPr>
            </w:pPr>
            <w:r w:rsidRPr="00FF0647">
              <w:rPr>
                <w:sz w:val="20"/>
                <w:lang w:val="en-GB"/>
              </w:rPr>
              <w:t>Grants announced on or after 13 September 2020 and for payments made between 13 September 2020 and 30 June 2021.</w:t>
            </w:r>
          </w:p>
        </w:tc>
      </w:tr>
    </w:tbl>
    <w:p w:rsidR="008F0451" w:rsidRPr="00FF0647" w:rsidRDefault="008F0451" w:rsidP="008F0451">
      <w:pPr>
        <w:rPr>
          <w:lang w:val="en-GB"/>
        </w:rPr>
      </w:pPr>
    </w:p>
    <w:p w:rsidR="008F0451" w:rsidRPr="00FF0647" w:rsidRDefault="008F0451" w:rsidP="008F0451">
      <w:pPr>
        <w:rPr>
          <w:lang w:val="en-GB"/>
        </w:rPr>
      </w:pPr>
      <w:r w:rsidRPr="00FF0647">
        <w:rPr>
          <w:lang w:val="en-GB"/>
        </w:rPr>
        <w:t xml:space="preserve">As previously announced, the Government will make </w:t>
      </w:r>
      <w:r w:rsidR="00FF3FD2" w:rsidRPr="00FF0647">
        <w:rPr>
          <w:lang w:val="en-GB"/>
        </w:rPr>
        <w:t xml:space="preserve">the </w:t>
      </w:r>
      <w:r w:rsidRPr="00FF0647">
        <w:rPr>
          <w:lang w:val="en-GB"/>
        </w:rPr>
        <w:t>Victoria</w:t>
      </w:r>
      <w:r w:rsidR="00FF3FD2" w:rsidRPr="00FF0647">
        <w:rPr>
          <w:lang w:val="en-GB"/>
        </w:rPr>
        <w:t>n</w:t>
      </w:r>
      <w:r w:rsidRPr="00FF0647">
        <w:rPr>
          <w:lang w:val="en-GB"/>
        </w:rPr>
        <w:t xml:space="preserve"> Government’s business support grants for small and medium business tax-free (non-assessable, non-exempt (NANE) income) for tax purposes.</w:t>
      </w:r>
    </w:p>
    <w:p w:rsidR="00FF3FD2" w:rsidRPr="00FF0647" w:rsidRDefault="00FF3FD2" w:rsidP="008F0451">
      <w:pPr>
        <w:rPr>
          <w:lang w:val="en-GB"/>
        </w:rPr>
      </w:pPr>
    </w:p>
    <w:p w:rsidR="00FF3FD2" w:rsidRPr="00FF0647" w:rsidRDefault="00FF3FD2" w:rsidP="002C20D2">
      <w:pPr>
        <w:rPr>
          <w:lang w:val="en-GB"/>
        </w:rPr>
      </w:pPr>
      <w:r w:rsidRPr="00FF0647">
        <w:rPr>
          <w:lang w:val="en-GB"/>
        </w:rPr>
        <w:t xml:space="preserve">This program will </w:t>
      </w:r>
      <w:r w:rsidR="002C20D2" w:rsidRPr="00FF0647">
        <w:rPr>
          <w:lang w:val="en-GB"/>
        </w:rPr>
        <w:t>be extended to all States and Territories on an application basis and is restricted to future grants programs.</w:t>
      </w:r>
    </w:p>
    <w:p w:rsidR="00FF3FD2" w:rsidRPr="00FF0647" w:rsidRDefault="00FF3FD2" w:rsidP="008F0451">
      <w:pPr>
        <w:rPr>
          <w:lang w:val="en-GB"/>
        </w:rPr>
      </w:pPr>
    </w:p>
    <w:p w:rsidR="00435365" w:rsidRPr="009767D4" w:rsidRDefault="00FF3FD2" w:rsidP="009767D4">
      <w:pPr>
        <w:rPr>
          <w:lang w:val="en-GB"/>
        </w:rPr>
      </w:pPr>
      <w:r w:rsidRPr="00FF0647">
        <w:rPr>
          <w:lang w:val="en-GB"/>
        </w:rPr>
        <w:t>State-based grants such as the Business Support Grants are generally considered taxable income unless</w:t>
      </w:r>
      <w:r w:rsidR="002C20D2" w:rsidRPr="00FF0647">
        <w:rPr>
          <w:lang w:val="en-GB"/>
        </w:rPr>
        <w:t xml:space="preserve"> </w:t>
      </w:r>
      <w:r w:rsidRPr="00FF0647">
        <w:rPr>
          <w:lang w:val="en-GB"/>
        </w:rPr>
        <w:t xml:space="preserve">legislation </w:t>
      </w:r>
      <w:r w:rsidR="002C20D2" w:rsidRPr="00FF0647">
        <w:rPr>
          <w:lang w:val="en-GB"/>
        </w:rPr>
        <w:t>enables them to be treated as non-assessable, non-exempt income.</w:t>
      </w:r>
    </w:p>
    <w:p w:rsidR="00910B89" w:rsidRPr="00FF0647" w:rsidRDefault="00910B89" w:rsidP="00221FCF">
      <w:pPr>
        <w:pStyle w:val="Heading2"/>
        <w:rPr>
          <w:lang w:val="en-GB"/>
        </w:rPr>
      </w:pPr>
      <w:bookmarkStart w:id="29" w:name="_Toc52955456"/>
      <w:r w:rsidRPr="00FF0647">
        <w:rPr>
          <w:lang w:val="en-GB"/>
        </w:rPr>
        <w:t xml:space="preserve">100,000 new </w:t>
      </w:r>
      <w:r w:rsidRPr="00221FCF">
        <w:t>apprenticeships</w:t>
      </w:r>
      <w:bookmarkEnd w:id="29"/>
    </w:p>
    <w:tbl>
      <w:tblPr>
        <w:tblStyle w:val="TableContemporary"/>
        <w:tblW w:w="0" w:type="auto"/>
        <w:tblLook w:val="0400" w:firstRow="0" w:lastRow="0" w:firstColumn="0" w:lastColumn="0" w:noHBand="0" w:noVBand="1"/>
      </w:tblPr>
      <w:tblGrid>
        <w:gridCol w:w="2830"/>
        <w:gridCol w:w="6232"/>
      </w:tblGrid>
      <w:tr w:rsidR="00910B89" w:rsidRPr="00FF0647" w:rsidTr="000053CD">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910B89" w:rsidRPr="00FF0647" w:rsidRDefault="00910B89" w:rsidP="000053CD">
            <w:pPr>
              <w:rPr>
                <w:b/>
                <w:bCs/>
                <w:sz w:val="20"/>
                <w:lang w:val="en-GB"/>
              </w:rPr>
            </w:pPr>
            <w:r w:rsidRPr="00FF0647">
              <w:rPr>
                <w:b/>
                <w:bCs/>
                <w:sz w:val="20"/>
                <w:lang w:val="en-GB"/>
              </w:rPr>
              <w:t>Date of effect</w:t>
            </w:r>
          </w:p>
        </w:tc>
        <w:tc>
          <w:tcPr>
            <w:tcW w:w="6232" w:type="dxa"/>
            <w:shd w:val="clear" w:color="auto" w:fill="FFFFFF" w:themeFill="background1"/>
            <w:vAlign w:val="center"/>
          </w:tcPr>
          <w:p w:rsidR="00910B89" w:rsidRPr="00FF0647" w:rsidRDefault="00910B89" w:rsidP="000053CD">
            <w:pPr>
              <w:rPr>
                <w:sz w:val="20"/>
                <w:lang w:val="en-GB"/>
              </w:rPr>
            </w:pPr>
            <w:r w:rsidRPr="00FF0647">
              <w:rPr>
                <w:sz w:val="20"/>
                <w:lang w:val="en-GB"/>
              </w:rPr>
              <w:t>5 October 2020</w:t>
            </w:r>
          </w:p>
        </w:tc>
      </w:tr>
    </w:tbl>
    <w:p w:rsidR="00910B89" w:rsidRPr="00FF0647" w:rsidRDefault="00910B89" w:rsidP="00910B89">
      <w:pPr>
        <w:rPr>
          <w:lang w:val="en-GB"/>
        </w:rPr>
      </w:pPr>
    </w:p>
    <w:p w:rsidR="00910B89" w:rsidRPr="00FF0647" w:rsidRDefault="00910B89" w:rsidP="00910B89">
      <w:pPr>
        <w:rPr>
          <w:lang w:val="en-GB"/>
        </w:rPr>
      </w:pPr>
      <w:r w:rsidRPr="00FF0647">
        <w:rPr>
          <w:lang w:val="en-GB"/>
        </w:rPr>
        <w:t>Announced pre Budget, from 5 October 2020</w:t>
      </w:r>
      <w:r w:rsidR="00E3778E" w:rsidRPr="00FF0647">
        <w:rPr>
          <w:lang w:val="en-GB"/>
        </w:rPr>
        <w:t xml:space="preserve"> </w:t>
      </w:r>
      <w:r w:rsidR="002B443E" w:rsidRPr="00FF0647">
        <w:rPr>
          <w:lang w:val="en-GB"/>
        </w:rPr>
        <w:t xml:space="preserve">a </w:t>
      </w:r>
      <w:r w:rsidR="00E3778E" w:rsidRPr="00FF0647">
        <w:rPr>
          <w:lang w:val="en-GB"/>
        </w:rPr>
        <w:t xml:space="preserve">business </w:t>
      </w:r>
      <w:r w:rsidR="000C6738" w:rsidRPr="00FF0647">
        <w:rPr>
          <w:lang w:val="en-GB"/>
        </w:rPr>
        <w:t xml:space="preserve">(or Group Training Organisation) </w:t>
      </w:r>
      <w:r w:rsidR="00E3778E" w:rsidRPr="00FF0647">
        <w:rPr>
          <w:lang w:val="en-GB"/>
        </w:rPr>
        <w:t>that take</w:t>
      </w:r>
      <w:r w:rsidR="004048E3" w:rsidRPr="00FF0647">
        <w:rPr>
          <w:lang w:val="en-GB"/>
        </w:rPr>
        <w:t>s</w:t>
      </w:r>
      <w:r w:rsidR="00E3778E" w:rsidRPr="00FF0647">
        <w:rPr>
          <w:lang w:val="en-GB"/>
        </w:rPr>
        <w:t xml:space="preserve"> on a new Australian apprentice will be eligible for a 50% wage subsidy, regardless of geographic location, occupation, industry or business size.</w:t>
      </w:r>
      <w:r w:rsidR="00582FF0" w:rsidRPr="00FF0647">
        <w:rPr>
          <w:lang w:val="en-GB"/>
        </w:rPr>
        <w:t xml:space="preserve"> The scheme will be available unti</w:t>
      </w:r>
      <w:r w:rsidR="004A721E" w:rsidRPr="00FF0647">
        <w:rPr>
          <w:lang w:val="en-GB"/>
        </w:rPr>
        <w:t>l</w:t>
      </w:r>
      <w:r w:rsidR="00582FF0" w:rsidRPr="00FF0647">
        <w:rPr>
          <w:lang w:val="en-GB"/>
        </w:rPr>
        <w:t xml:space="preserve"> the 100,000 cap has been reached.</w:t>
      </w:r>
    </w:p>
    <w:p w:rsidR="007058CA" w:rsidRPr="00FF0647" w:rsidRDefault="007058CA" w:rsidP="00910B89">
      <w:pPr>
        <w:rPr>
          <w:lang w:val="en-GB"/>
        </w:rPr>
      </w:pPr>
    </w:p>
    <w:p w:rsidR="00615EBF" w:rsidRPr="00FF0647" w:rsidRDefault="007058CA" w:rsidP="00910B89">
      <w:pPr>
        <w:rPr>
          <w:lang w:val="en-GB"/>
        </w:rPr>
      </w:pPr>
      <w:r w:rsidRPr="00FF0647">
        <w:rPr>
          <w:lang w:val="en-GB"/>
        </w:rPr>
        <w:t xml:space="preserve">Under the subsidy, employers will be eligible for </w:t>
      </w:r>
      <w:r w:rsidR="002B443E" w:rsidRPr="00FF0647">
        <w:rPr>
          <w:lang w:val="en-GB"/>
        </w:rPr>
        <w:t xml:space="preserve">up to </w:t>
      </w:r>
      <w:r w:rsidRPr="00FF0647">
        <w:rPr>
          <w:lang w:val="en-GB"/>
        </w:rPr>
        <w:t xml:space="preserve">50% of the wages </w:t>
      </w:r>
      <w:r w:rsidR="004048E3" w:rsidRPr="00FF0647">
        <w:rPr>
          <w:lang w:val="en-GB"/>
        </w:rPr>
        <w:t>of</w:t>
      </w:r>
      <w:r w:rsidRPr="00FF0647">
        <w:rPr>
          <w:lang w:val="en-GB"/>
        </w:rPr>
        <w:t xml:space="preserve"> a new or recommencing apprentice or trainee for the period up to 30 September 2021. </w:t>
      </w:r>
      <w:r w:rsidR="00615EBF" w:rsidRPr="00FF0647">
        <w:rPr>
          <w:lang w:val="en-GB"/>
        </w:rPr>
        <w:t xml:space="preserve">The maximum subsidy is $7,000 per quarter. </w:t>
      </w:r>
    </w:p>
    <w:p w:rsidR="00615EBF" w:rsidRPr="00FF0647" w:rsidRDefault="00615EBF" w:rsidP="00910B89">
      <w:pPr>
        <w:rPr>
          <w:lang w:val="en-GB"/>
        </w:rPr>
      </w:pPr>
    </w:p>
    <w:p w:rsidR="007058CA" w:rsidRPr="00FF0647" w:rsidRDefault="007058CA" w:rsidP="00910B89">
      <w:pPr>
        <w:rPr>
          <w:lang w:val="en-GB"/>
        </w:rPr>
      </w:pPr>
      <w:r w:rsidRPr="00FF0647">
        <w:rPr>
          <w:lang w:val="en-GB"/>
        </w:rPr>
        <w:t>The subsidy is paid in arrears</w:t>
      </w:r>
      <w:r w:rsidR="00615EBF" w:rsidRPr="00FF0647">
        <w:rPr>
          <w:lang w:val="en-GB"/>
        </w:rPr>
        <w:t xml:space="preserve"> and is available for wages paid from 5 October 2020 to 30 September 2021</w:t>
      </w:r>
      <w:r w:rsidRPr="00FF0647">
        <w:rPr>
          <w:lang w:val="en-GB"/>
        </w:rPr>
        <w:t>.</w:t>
      </w:r>
    </w:p>
    <w:p w:rsidR="004048E3" w:rsidRPr="00FF0647" w:rsidRDefault="004048E3" w:rsidP="00910B89">
      <w:pPr>
        <w:rPr>
          <w:lang w:val="en-GB"/>
        </w:rPr>
      </w:pPr>
    </w:p>
    <w:p w:rsidR="004048E3" w:rsidRDefault="004048E3" w:rsidP="00910B89">
      <w:pPr>
        <w:rPr>
          <w:lang w:val="en-GB"/>
        </w:rPr>
      </w:pPr>
      <w:r w:rsidRPr="00FF0647">
        <w:rPr>
          <w:lang w:val="en-GB"/>
        </w:rPr>
        <w:t>Eligible businesses are those that:</w:t>
      </w:r>
    </w:p>
    <w:p w:rsidR="00221FCF" w:rsidRPr="00FF0647" w:rsidRDefault="00221FCF" w:rsidP="00910B89">
      <w:pPr>
        <w:rPr>
          <w:lang w:val="en-GB"/>
        </w:rPr>
      </w:pPr>
    </w:p>
    <w:p w:rsidR="004048E3" w:rsidRPr="00FF0647" w:rsidRDefault="00080B0F" w:rsidP="004048E3">
      <w:pPr>
        <w:pStyle w:val="ListParagraph"/>
      </w:pPr>
      <w:r w:rsidRPr="00FF0647">
        <w:t>E</w:t>
      </w:r>
      <w:r w:rsidR="004048E3" w:rsidRPr="00FF0647">
        <w:t>ngage an Australian Apprentice between 5 October 2020 and 30 September 2021</w:t>
      </w:r>
      <w:r w:rsidRPr="00FF0647">
        <w:t>,</w:t>
      </w:r>
      <w:r w:rsidR="004048E3" w:rsidRPr="00FF0647">
        <w:t xml:space="preserve"> and</w:t>
      </w:r>
    </w:p>
    <w:p w:rsidR="004048E3" w:rsidRPr="00FF0647" w:rsidRDefault="00080B0F" w:rsidP="004048E3">
      <w:pPr>
        <w:pStyle w:val="ListParagraph"/>
      </w:pPr>
      <w:r w:rsidRPr="00FF0647">
        <w:t>The</w:t>
      </w:r>
      <w:r w:rsidR="004048E3" w:rsidRPr="00FF0647">
        <w:t xml:space="preserve"> Australian Apprentice or trainee is undertaking a Certificate II or higher qualification, and has a training contract that is formally approved by the state training authority.</w:t>
      </w:r>
    </w:p>
    <w:p w:rsidR="00910B89" w:rsidRPr="00FF0647" w:rsidRDefault="00910B89" w:rsidP="00910B89">
      <w:pPr>
        <w:rPr>
          <w:lang w:val="en-GB"/>
        </w:rPr>
      </w:pPr>
    </w:p>
    <w:p w:rsidR="004048E3" w:rsidRPr="00FF0647" w:rsidRDefault="00910B89" w:rsidP="00910B89">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35" w:history="1">
        <w:r w:rsidRPr="00FF0647">
          <w:rPr>
            <w:rStyle w:val="Hyperlink"/>
            <w:lang w:val="en-GB"/>
          </w:rPr>
          <w:t>100,000 New Apprenticeship Positions to Lead The Covid-19 Economic Recovery</w:t>
        </w:r>
      </w:hyperlink>
    </w:p>
    <w:p w:rsidR="004048E3" w:rsidRPr="00FF0647" w:rsidRDefault="004048E3" w:rsidP="00910B89">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36" w:history="1">
        <w:r w:rsidRPr="00FF0647">
          <w:rPr>
            <w:rStyle w:val="Hyperlink"/>
            <w:lang w:val="en-GB"/>
          </w:rPr>
          <w:t>Boosting Apprenticeship Commencements</w:t>
        </w:r>
      </w:hyperlink>
    </w:p>
    <w:p w:rsidR="001E1F50" w:rsidRDefault="004048E3" w:rsidP="00032E1B">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37" w:history="1">
        <w:r w:rsidRPr="00FF0647">
          <w:rPr>
            <w:rStyle w:val="Hyperlink"/>
            <w:lang w:val="en-GB"/>
          </w:rPr>
          <w:t>Fact sheet</w:t>
        </w:r>
      </w:hyperlink>
      <w:hyperlink r:id="rId38" w:history="1"/>
    </w:p>
    <w:p w:rsidR="00032E1B" w:rsidRDefault="00032E1B" w:rsidP="00032E1B">
      <w:pPr>
        <w:pStyle w:val="Heading2"/>
        <w:rPr>
          <w:lang w:val="en-GB"/>
        </w:rPr>
      </w:pPr>
      <w:bookmarkStart w:id="30" w:name="_Toc52955457"/>
      <w:r>
        <w:rPr>
          <w:lang w:val="en-GB"/>
        </w:rPr>
        <w:t xml:space="preserve">Specific </w:t>
      </w:r>
      <w:r w:rsidR="002B5E26">
        <w:rPr>
          <w:lang w:val="en-GB"/>
        </w:rPr>
        <w:t xml:space="preserve">regional </w:t>
      </w:r>
      <w:r>
        <w:rPr>
          <w:lang w:val="en-GB"/>
        </w:rPr>
        <w:t>COVID-19 funding measures</w:t>
      </w:r>
      <w:bookmarkEnd w:id="30"/>
    </w:p>
    <w:p w:rsidR="00553B39" w:rsidRDefault="00553B39" w:rsidP="00553B39">
      <w:pPr>
        <w:rPr>
          <w:lang w:val="en-GB"/>
        </w:rPr>
      </w:pPr>
      <w:r>
        <w:rPr>
          <w:lang w:val="en-GB"/>
        </w:rPr>
        <w:t xml:space="preserve">The Government has committed close to $552 million over four years </w:t>
      </w:r>
      <w:r>
        <w:t xml:space="preserve">from 2020-21 </w:t>
      </w:r>
      <w:r>
        <w:rPr>
          <w:lang w:val="en-GB"/>
        </w:rPr>
        <w:t>to assist regional Australia recover from the impacts of COVID-19 and recent natural disasters including:</w:t>
      </w:r>
    </w:p>
    <w:p w:rsidR="00221FCF" w:rsidRDefault="00221FCF" w:rsidP="00553B39">
      <w:pPr>
        <w:rPr>
          <w:lang w:val="en-GB"/>
        </w:rPr>
      </w:pPr>
    </w:p>
    <w:p w:rsidR="00553B39" w:rsidRDefault="00553B39" w:rsidP="00553B39">
      <w:pPr>
        <w:pStyle w:val="ListParagraph"/>
      </w:pPr>
      <w:r w:rsidRPr="00032E1B">
        <w:lastRenderedPageBreak/>
        <w:t>$207.7 million over five years from 2020-21</w:t>
      </w:r>
      <w:r>
        <w:t xml:space="preserve"> for round 5 of the </w:t>
      </w:r>
      <w:r w:rsidRPr="00032E1B">
        <w:t>Building Better Regions Fund</w:t>
      </w:r>
    </w:p>
    <w:p w:rsidR="00553B39" w:rsidRDefault="00553B39" w:rsidP="00553B39">
      <w:pPr>
        <w:pStyle w:val="ListParagraph"/>
      </w:pPr>
      <w:r>
        <w:t xml:space="preserve">$100 million over two years from 2020-21 to facilitate Regional Recovery Partnerships with states, territories and local governments in </w:t>
      </w:r>
      <w:r w:rsidRPr="00437B2F">
        <w:t>10 priority investment regions</w:t>
      </w:r>
    </w:p>
    <w:p w:rsidR="00553B39" w:rsidRDefault="00553B39" w:rsidP="00553B39">
      <w:pPr>
        <w:pStyle w:val="ListParagraph"/>
      </w:pPr>
      <w:r>
        <w:t>$51 million over two years from 2020-21 to assist regions heavily reliant on international tourism</w:t>
      </w:r>
    </w:p>
    <w:p w:rsidR="00553B39" w:rsidRDefault="00553B39" w:rsidP="00553B39">
      <w:pPr>
        <w:pStyle w:val="ListParagraph"/>
      </w:pPr>
      <w:r w:rsidRPr="00437B2F">
        <w:t>$50.3 million over four years</w:t>
      </w:r>
      <w:r>
        <w:t xml:space="preserve"> from 2020-21 to support the </w:t>
      </w:r>
      <w:r w:rsidRPr="00437B2F">
        <w:t>Rural Health Multidisciplinary Training</w:t>
      </w:r>
      <w:r>
        <w:t xml:space="preserve"> program</w:t>
      </w:r>
    </w:p>
    <w:p w:rsidR="00553B39" w:rsidRDefault="00553B39" w:rsidP="00553B39">
      <w:pPr>
        <w:pStyle w:val="ListParagraph"/>
      </w:pPr>
      <w:r w:rsidRPr="00437B2F">
        <w:t>$41 million over three years</w:t>
      </w:r>
      <w:r>
        <w:t xml:space="preserve"> from 2020-21 to support R&amp;D activities in regional areas</w:t>
      </w:r>
    </w:p>
    <w:p w:rsidR="00553B39" w:rsidRDefault="00553B39" w:rsidP="00553B39">
      <w:pPr>
        <w:pStyle w:val="ListParagraph"/>
      </w:pPr>
      <w:r w:rsidRPr="00437B2F">
        <w:t>$30.3 million over two years</w:t>
      </w:r>
      <w:r>
        <w:t xml:space="preserve"> from 2020-21 to extend Round One of the Regional Connectivity Program to improve access to digital technologies </w:t>
      </w:r>
    </w:p>
    <w:p w:rsidR="00032E1B" w:rsidRDefault="00032E1B" w:rsidP="00032E1B">
      <w:pPr>
        <w:rPr>
          <w:lang w:val="en-GB"/>
        </w:rPr>
      </w:pPr>
    </w:p>
    <w:p w:rsidR="00032E1B" w:rsidRDefault="00032E1B" w:rsidP="00032E1B">
      <w:pPr>
        <w:rPr>
          <w:lang w:val="en-GB"/>
        </w:rPr>
      </w:pPr>
      <w:r w:rsidRPr="00FF0647">
        <w:rPr>
          <w:rFonts w:ascii="Wingdings 3" w:hAnsi="Wingdings 3"/>
          <w:b/>
          <w:bCs/>
          <w:color w:val="34B6E4"/>
          <w:lang w:val="en-GB"/>
        </w:rPr>
        <w:t>4</w:t>
      </w:r>
      <w:r w:rsidRPr="00FF0647">
        <w:rPr>
          <w:color w:val="34B6E4"/>
          <w:lang w:val="en-GB"/>
        </w:rPr>
        <w:t xml:space="preserve"> </w:t>
      </w:r>
      <w:r w:rsidRPr="00FF0647">
        <w:rPr>
          <w:lang w:val="en-GB"/>
        </w:rPr>
        <w:t xml:space="preserve">  </w:t>
      </w:r>
      <w:hyperlink r:id="rId39" w:history="1">
        <w:r w:rsidRPr="00032E1B">
          <w:rPr>
            <w:rStyle w:val="Hyperlink"/>
            <w:lang w:val="en-GB"/>
          </w:rPr>
          <w:t>Regional tourism recovery package to get visitors flowing again</w:t>
        </w:r>
      </w:hyperlink>
      <w:hyperlink r:id="rId40" w:history="1"/>
    </w:p>
    <w:p w:rsidR="00032E1B" w:rsidRPr="00032E1B" w:rsidRDefault="00032E1B" w:rsidP="00032E1B">
      <w:pPr>
        <w:rPr>
          <w:lang w:val="en-GB"/>
        </w:rPr>
      </w:pPr>
    </w:p>
    <w:p w:rsidR="00032E1B" w:rsidRPr="00FF0647" w:rsidRDefault="00032E1B">
      <w:pPr>
        <w:spacing w:after="200"/>
        <w:rPr>
          <w:lang w:val="en-GB"/>
        </w:rPr>
      </w:pPr>
    </w:p>
    <w:p w:rsidR="00F40DFA" w:rsidRPr="00FF0647" w:rsidRDefault="00F40DFA" w:rsidP="00F40DFA">
      <w:pPr>
        <w:rPr>
          <w:lang w:val="en-GB"/>
        </w:rPr>
      </w:pPr>
    </w:p>
    <w:p w:rsidR="00F40DFA" w:rsidRPr="00FF0647" w:rsidRDefault="00F40DFA" w:rsidP="00F40DFA">
      <w:pPr>
        <w:rPr>
          <w:lang w:val="en-GB"/>
        </w:rPr>
      </w:pPr>
    </w:p>
    <w:p w:rsidR="00DC5BAE" w:rsidRPr="00FF0647" w:rsidRDefault="00DC5BAE" w:rsidP="00DC5BAE">
      <w:pPr>
        <w:rPr>
          <w:lang w:val="en-GB"/>
        </w:rPr>
      </w:pPr>
    </w:p>
    <w:p w:rsidR="00893470" w:rsidRPr="00FF0647" w:rsidRDefault="00893470" w:rsidP="00385F4F">
      <w:pPr>
        <w:pStyle w:val="Heading1"/>
        <w:rPr>
          <w:lang w:val="en-GB"/>
        </w:rPr>
      </w:pPr>
      <w:r w:rsidRPr="00FF0647">
        <w:rPr>
          <w:lang w:val="en-GB"/>
        </w:rPr>
        <w:br w:type="page"/>
      </w:r>
    </w:p>
    <w:p w:rsidR="00893470" w:rsidRDefault="00893470" w:rsidP="00893470">
      <w:pPr>
        <w:pStyle w:val="Heading1"/>
        <w:rPr>
          <w:lang w:val="en-GB"/>
        </w:rPr>
      </w:pPr>
      <w:bookmarkStart w:id="31" w:name="_Toc52955458"/>
      <w:r w:rsidRPr="00FF0647">
        <w:rPr>
          <w:lang w:val="en-GB"/>
        </w:rPr>
        <w:lastRenderedPageBreak/>
        <w:t>Infrastructure</w:t>
      </w:r>
      <w:bookmarkEnd w:id="31"/>
    </w:p>
    <w:p w:rsidR="00EC562A" w:rsidRDefault="00EC562A" w:rsidP="00EC562A">
      <w:pPr>
        <w:pStyle w:val="Heading2"/>
        <w:rPr>
          <w:lang w:val="en-GB"/>
        </w:rPr>
      </w:pPr>
      <w:bookmarkStart w:id="32" w:name="_Toc52955459"/>
      <w:r>
        <w:rPr>
          <w:lang w:val="en-GB"/>
        </w:rPr>
        <w:t>Water infrastructure</w:t>
      </w:r>
      <w:bookmarkEnd w:id="32"/>
    </w:p>
    <w:p w:rsidR="00EC562A" w:rsidRDefault="00BF0D03" w:rsidP="007308AD">
      <w:pPr>
        <w:rPr>
          <w:lang w:val="en-GB"/>
        </w:rPr>
      </w:pPr>
      <w:r w:rsidRPr="00BF0D03">
        <w:rPr>
          <w:lang w:val="en-GB"/>
        </w:rPr>
        <w:t>The Government will provide $2 billion over ten years from 2020-21 for the</w:t>
      </w:r>
      <w:r>
        <w:rPr>
          <w:lang w:val="en-GB"/>
        </w:rPr>
        <w:t xml:space="preserve"> </w:t>
      </w:r>
      <w:r w:rsidRPr="00BF0D03">
        <w:rPr>
          <w:lang w:val="en-GB"/>
        </w:rPr>
        <w:t>development and delivery of a 10-year rolling program of priority water infrastructure</w:t>
      </w:r>
      <w:r>
        <w:rPr>
          <w:lang w:val="en-GB"/>
        </w:rPr>
        <w:t xml:space="preserve"> </w:t>
      </w:r>
      <w:r w:rsidRPr="00BF0D03">
        <w:rPr>
          <w:lang w:val="en-GB"/>
        </w:rPr>
        <w:t>investments</w:t>
      </w:r>
      <w:r>
        <w:rPr>
          <w:lang w:val="en-GB"/>
        </w:rPr>
        <w:t>, including</w:t>
      </w:r>
      <w:r w:rsidR="007308AD">
        <w:rPr>
          <w:lang w:val="en-GB"/>
        </w:rPr>
        <w:t xml:space="preserve"> </w:t>
      </w:r>
      <w:r w:rsidR="007308AD" w:rsidRPr="007308AD">
        <w:rPr>
          <w:lang w:val="en-GB"/>
        </w:rPr>
        <w:t>grant funding for the planning and construction of water infrastructure in</w:t>
      </w:r>
      <w:r w:rsidR="007308AD">
        <w:rPr>
          <w:lang w:val="en-GB"/>
        </w:rPr>
        <w:t xml:space="preserve"> </w:t>
      </w:r>
      <w:r w:rsidR="007308AD" w:rsidRPr="007308AD">
        <w:rPr>
          <w:lang w:val="en-GB"/>
        </w:rPr>
        <w:t>partnership with the states and territories</w:t>
      </w:r>
      <w:r w:rsidR="007308AD">
        <w:rPr>
          <w:lang w:val="en-GB"/>
        </w:rPr>
        <w:t xml:space="preserve">. </w:t>
      </w:r>
    </w:p>
    <w:p w:rsidR="000D40FB" w:rsidRPr="00FF0647" w:rsidRDefault="000D40FB" w:rsidP="00B15ED6">
      <w:pPr>
        <w:pStyle w:val="Heading2"/>
        <w:rPr>
          <w:lang w:val="en-GB"/>
        </w:rPr>
      </w:pPr>
      <w:bookmarkStart w:id="33" w:name="_Toc52955460"/>
      <w:r w:rsidRPr="00FF0647">
        <w:rPr>
          <w:lang w:val="en-GB"/>
        </w:rPr>
        <w:t xml:space="preserve">$7.5bn transport </w:t>
      </w:r>
      <w:r w:rsidRPr="00B15ED6">
        <w:t>infrastructure</w:t>
      </w:r>
      <w:r w:rsidR="008D0BED" w:rsidRPr="00FF0647">
        <w:rPr>
          <w:lang w:val="en-GB"/>
        </w:rPr>
        <w:t xml:space="preserve"> injection</w:t>
      </w:r>
      <w:bookmarkEnd w:id="33"/>
    </w:p>
    <w:p w:rsidR="00AF053E" w:rsidRPr="00FF0647" w:rsidRDefault="000F0688" w:rsidP="00AF053E">
      <w:pPr>
        <w:rPr>
          <w:lang w:val="en-GB"/>
        </w:rPr>
      </w:pPr>
      <w:r w:rsidRPr="00FF0647">
        <w:rPr>
          <w:lang w:val="en-GB"/>
        </w:rPr>
        <w:t xml:space="preserve">Announced ahead of the Federal Budget, </w:t>
      </w:r>
      <w:r w:rsidR="00AB4024" w:rsidRPr="00FF0647">
        <w:rPr>
          <w:lang w:val="en-GB"/>
        </w:rPr>
        <w:t xml:space="preserve">transport </w:t>
      </w:r>
      <w:r w:rsidRPr="00FF0647">
        <w:rPr>
          <w:lang w:val="en-GB"/>
        </w:rPr>
        <w:t>i</w:t>
      </w:r>
      <w:r w:rsidR="00893470" w:rsidRPr="00FF0647">
        <w:rPr>
          <w:lang w:val="en-GB"/>
        </w:rPr>
        <w:t xml:space="preserve">nfrastructure spending is a big winner with each State and Territory </w:t>
      </w:r>
      <w:r w:rsidR="00C043B5" w:rsidRPr="00FF0647">
        <w:rPr>
          <w:lang w:val="en-GB"/>
        </w:rPr>
        <w:t xml:space="preserve">sharing in </w:t>
      </w:r>
      <w:r w:rsidR="00AB4024" w:rsidRPr="00FF0647">
        <w:rPr>
          <w:lang w:val="en-GB"/>
        </w:rPr>
        <w:t xml:space="preserve">an additional </w:t>
      </w:r>
      <w:r w:rsidR="00C043B5" w:rsidRPr="00FF0647">
        <w:rPr>
          <w:lang w:val="en-GB"/>
        </w:rPr>
        <w:t>$</w:t>
      </w:r>
      <w:r w:rsidR="00F46B61" w:rsidRPr="00FF0647">
        <w:rPr>
          <w:lang w:val="en-GB"/>
        </w:rPr>
        <w:t>7.5</w:t>
      </w:r>
      <w:r w:rsidR="00C043B5" w:rsidRPr="00FF0647">
        <w:rPr>
          <w:lang w:val="en-GB"/>
        </w:rPr>
        <w:t xml:space="preserve"> billion </w:t>
      </w:r>
      <w:r w:rsidR="00AB4024" w:rsidRPr="00FF0647">
        <w:rPr>
          <w:lang w:val="en-GB"/>
        </w:rPr>
        <w:t xml:space="preserve">to fast track </w:t>
      </w:r>
      <w:r w:rsidR="00893470" w:rsidRPr="00FF0647">
        <w:rPr>
          <w:lang w:val="en-GB"/>
        </w:rPr>
        <w:t xml:space="preserve">investment in </w:t>
      </w:r>
      <w:r w:rsidR="00AB4024" w:rsidRPr="00FF0647">
        <w:rPr>
          <w:lang w:val="en-GB"/>
        </w:rPr>
        <w:t>projects. Working in consultation with the State an</w:t>
      </w:r>
      <w:r w:rsidR="00FE4F6C" w:rsidRPr="00FF0647">
        <w:rPr>
          <w:lang w:val="en-GB"/>
        </w:rPr>
        <w:t>d</w:t>
      </w:r>
      <w:r w:rsidR="00AB4024" w:rsidRPr="00FF0647">
        <w:rPr>
          <w:lang w:val="en-GB"/>
        </w:rPr>
        <w:t xml:space="preserve"> Territories, the projects have been identified as “ready to go” or “shovel ready.”</w:t>
      </w:r>
    </w:p>
    <w:p w:rsidR="00F46B61" w:rsidRPr="00FF0647" w:rsidRDefault="00F46B61" w:rsidP="00AF053E">
      <w:pPr>
        <w:rPr>
          <w:lang w:val="en-GB"/>
        </w:rPr>
      </w:pPr>
    </w:p>
    <w:p w:rsidR="00F46B61" w:rsidRPr="00FF0647" w:rsidRDefault="008D0BED" w:rsidP="00AF053E">
      <w:pPr>
        <w:rPr>
          <w:lang w:val="en-GB"/>
        </w:rPr>
      </w:pPr>
      <w:r w:rsidRPr="00FF0647">
        <w:rPr>
          <w:rFonts w:ascii="Wingdings 3" w:hAnsi="Wingdings 3"/>
          <w:b/>
          <w:bCs/>
          <w:color w:val="34B6E4"/>
          <w:lang w:val="en-GB"/>
        </w:rPr>
        <w:t>4</w:t>
      </w:r>
      <w:r w:rsidRPr="00FF0647">
        <w:rPr>
          <w:color w:val="34B6E4"/>
          <w:lang w:val="en-GB"/>
        </w:rPr>
        <w:t xml:space="preserve">  </w:t>
      </w:r>
      <w:hyperlink r:id="rId41" w:history="1">
        <w:r w:rsidR="005105CD" w:rsidRPr="00FF0647">
          <w:rPr>
            <w:rStyle w:val="Hyperlink"/>
            <w:lang w:val="en-GB"/>
          </w:rPr>
          <w:t>Morrison Government delivers $7.5 billion boost for transport infrastructure across nation</w:t>
        </w:r>
      </w:hyperlink>
    </w:p>
    <w:p w:rsidR="00974971" w:rsidRPr="00FF0647" w:rsidRDefault="00974971" w:rsidP="00893470">
      <w:pPr>
        <w:pStyle w:val="Heading3"/>
        <w:rPr>
          <w:lang w:val="en-GB"/>
        </w:rPr>
      </w:pPr>
      <w:bookmarkStart w:id="34" w:name="_Toc52955461"/>
      <w:r w:rsidRPr="00FF0647">
        <w:rPr>
          <w:lang w:val="en-GB"/>
        </w:rPr>
        <w:t>A</w:t>
      </w:r>
      <w:r w:rsidR="00B15ED6">
        <w:rPr>
          <w:lang w:val="en-GB"/>
        </w:rPr>
        <w:t>ustralian Capital Territory</w:t>
      </w:r>
      <w:bookmarkEnd w:id="34"/>
    </w:p>
    <w:p w:rsidR="00974971" w:rsidRPr="00FF0647" w:rsidRDefault="00974971" w:rsidP="00974971">
      <w:pPr>
        <w:rPr>
          <w:lang w:val="en-GB"/>
        </w:rPr>
      </w:pPr>
      <w:r w:rsidRPr="00FF0647">
        <w:rPr>
          <w:lang w:val="en-GB"/>
        </w:rPr>
        <w:t>$155 mi</w:t>
      </w:r>
      <w:r w:rsidR="005105CD" w:rsidRPr="00FF0647">
        <w:rPr>
          <w:lang w:val="en-GB"/>
        </w:rPr>
        <w:t>l</w:t>
      </w:r>
      <w:r w:rsidRPr="00FF0647">
        <w:rPr>
          <w:lang w:val="en-GB"/>
        </w:rPr>
        <w:t>lion investment in transport infrastructure. Key investments include:</w:t>
      </w:r>
    </w:p>
    <w:p w:rsidR="00974971" w:rsidRPr="00FF0647" w:rsidRDefault="00974971" w:rsidP="00974971">
      <w:pPr>
        <w:pStyle w:val="ListParagraph"/>
      </w:pPr>
      <w:r w:rsidRPr="00FF0647">
        <w:t>$88 million for the Molonglo River Bridge</w:t>
      </w:r>
    </w:p>
    <w:p w:rsidR="00974971" w:rsidRPr="00FF0647" w:rsidRDefault="00974971" w:rsidP="00974971">
      <w:pPr>
        <w:pStyle w:val="ListParagraph"/>
      </w:pPr>
      <w:r w:rsidRPr="00FF0647">
        <w:t>$50 million for a South West Corridor upgrade package.</w:t>
      </w:r>
    </w:p>
    <w:p w:rsidR="00974971" w:rsidRPr="00FF0647" w:rsidRDefault="00974971" w:rsidP="00974971">
      <w:pPr>
        <w:rPr>
          <w:lang w:val="en-GB"/>
        </w:rPr>
      </w:pPr>
    </w:p>
    <w:p w:rsidR="00974971" w:rsidRPr="00FF0647" w:rsidRDefault="008D0BED" w:rsidP="00974971">
      <w:pPr>
        <w:rPr>
          <w:lang w:val="en-GB"/>
        </w:rPr>
      </w:pPr>
      <w:r w:rsidRPr="00FF0647">
        <w:rPr>
          <w:rFonts w:ascii="Wingdings 3" w:hAnsi="Wingdings 3"/>
          <w:b/>
          <w:bCs/>
          <w:color w:val="34B6E4"/>
          <w:lang w:val="en-GB"/>
        </w:rPr>
        <w:t>4</w:t>
      </w:r>
      <w:r w:rsidRPr="00FF0647">
        <w:rPr>
          <w:color w:val="34B6E4"/>
          <w:lang w:val="en-GB"/>
        </w:rPr>
        <w:t xml:space="preserve">  </w:t>
      </w:r>
      <w:hyperlink r:id="rId42" w:history="1">
        <w:r w:rsidR="00974971" w:rsidRPr="00FF0647">
          <w:rPr>
            <w:rStyle w:val="Hyperlink"/>
            <w:lang w:val="en-GB"/>
          </w:rPr>
          <w:t>Morrison Government invests $155 million in transport infrastructure to boost ACT economic recovery</w:t>
        </w:r>
      </w:hyperlink>
    </w:p>
    <w:p w:rsidR="00604460" w:rsidRPr="00FF0647" w:rsidRDefault="00604460" w:rsidP="00893470">
      <w:pPr>
        <w:pStyle w:val="Heading3"/>
        <w:rPr>
          <w:lang w:val="en-GB"/>
        </w:rPr>
      </w:pPr>
      <w:bookmarkStart w:id="35" w:name="_Toc52955462"/>
      <w:r w:rsidRPr="00FF0647">
        <w:rPr>
          <w:lang w:val="en-GB"/>
        </w:rPr>
        <w:t>New South Wales</w:t>
      </w:r>
      <w:bookmarkEnd w:id="35"/>
    </w:p>
    <w:p w:rsidR="001D4A9C" w:rsidRPr="00FF0647" w:rsidRDefault="001D4A9C" w:rsidP="001D4A9C">
      <w:pPr>
        <w:rPr>
          <w:lang w:val="en-GB"/>
        </w:rPr>
      </w:pPr>
      <w:r w:rsidRPr="00FF0647">
        <w:rPr>
          <w:lang w:val="en-GB"/>
        </w:rPr>
        <w:t>$2.7 billion investment in transport infrastructure. Key investments include:</w:t>
      </w:r>
    </w:p>
    <w:p w:rsidR="001D4A9C" w:rsidRPr="00FF0647" w:rsidRDefault="001D4A9C" w:rsidP="001D4A9C">
      <w:pPr>
        <w:pStyle w:val="ListParagraph"/>
      </w:pPr>
      <w:r w:rsidRPr="00FF0647">
        <w:t>$560 million for the Singleton Bypass on the New England Highway</w:t>
      </w:r>
    </w:p>
    <w:p w:rsidR="001D4A9C" w:rsidRPr="00FF0647" w:rsidRDefault="001D4A9C" w:rsidP="001D4A9C">
      <w:pPr>
        <w:pStyle w:val="ListParagraph"/>
      </w:pPr>
      <w:r w:rsidRPr="00FF0647">
        <w:t>$360 million for the Newcastle Inner City Bypass between Rankin Park and Jesmond</w:t>
      </w:r>
    </w:p>
    <w:p w:rsidR="001D4A9C" w:rsidRPr="00FF0647" w:rsidRDefault="001D4A9C" w:rsidP="001D4A9C">
      <w:pPr>
        <w:pStyle w:val="ListParagraph"/>
      </w:pPr>
      <w:r w:rsidRPr="00FF0647">
        <w:t>$120 million for the Prospect Highway Upgrade</w:t>
      </w:r>
    </w:p>
    <w:p w:rsidR="001D4A9C" w:rsidRPr="00FF0647" w:rsidRDefault="001D4A9C" w:rsidP="001D4A9C">
      <w:pPr>
        <w:pStyle w:val="ListParagraph"/>
      </w:pPr>
      <w:r w:rsidRPr="00FF0647">
        <w:t xml:space="preserve">An additional $491 million for the Coffs Harbour Bypass taking </w:t>
      </w:r>
      <w:r w:rsidR="00EA1328" w:rsidRPr="00FF0647">
        <w:t>the</w:t>
      </w:r>
      <w:r w:rsidRPr="00FF0647">
        <w:t xml:space="preserve"> total contribution to $1.5 billion.</w:t>
      </w:r>
    </w:p>
    <w:p w:rsidR="00D7085B" w:rsidRPr="00FF0647" w:rsidRDefault="00D7085B" w:rsidP="00D7085B">
      <w:pPr>
        <w:rPr>
          <w:lang w:val="en-GB"/>
        </w:rPr>
      </w:pPr>
    </w:p>
    <w:p w:rsidR="00D7085B" w:rsidRPr="00FF0647" w:rsidRDefault="00D7085B" w:rsidP="00D7085B">
      <w:pPr>
        <w:rPr>
          <w:lang w:val="en-GB"/>
        </w:rPr>
      </w:pPr>
      <w:r w:rsidRPr="00FF0647">
        <w:rPr>
          <w:lang w:val="en-GB"/>
        </w:rPr>
        <w:t xml:space="preserve">And, for those that catch the train each day to work, there are upgrades planned for commuter carparks along the North Shore to St Marys (T1), and the T8 East Hills Line at Campbelltown, Revesby and </w:t>
      </w:r>
      <w:r w:rsidR="00F44F31" w:rsidRPr="00FF0647">
        <w:rPr>
          <w:lang w:val="en-GB"/>
        </w:rPr>
        <w:t>R</w:t>
      </w:r>
      <w:r w:rsidRPr="00FF0647">
        <w:rPr>
          <w:lang w:val="en-GB"/>
        </w:rPr>
        <w:t>iverwood.</w:t>
      </w:r>
    </w:p>
    <w:p w:rsidR="00F44F31" w:rsidRPr="00FF0647" w:rsidRDefault="00F44F31" w:rsidP="00D7085B">
      <w:pPr>
        <w:rPr>
          <w:lang w:val="en-GB"/>
        </w:rPr>
      </w:pPr>
    </w:p>
    <w:p w:rsidR="00F44F31" w:rsidRPr="00FF0647" w:rsidRDefault="008D0BED" w:rsidP="00D7085B">
      <w:pPr>
        <w:rPr>
          <w:lang w:val="en-GB"/>
        </w:rPr>
      </w:pPr>
      <w:r w:rsidRPr="00FF0647">
        <w:rPr>
          <w:rFonts w:ascii="Wingdings 3" w:hAnsi="Wingdings 3"/>
          <w:b/>
          <w:bCs/>
          <w:color w:val="34B6E4"/>
          <w:lang w:val="en-GB"/>
        </w:rPr>
        <w:t>4</w:t>
      </w:r>
      <w:r w:rsidRPr="00FF0647">
        <w:rPr>
          <w:color w:val="34B6E4"/>
          <w:lang w:val="en-GB"/>
        </w:rPr>
        <w:t xml:space="preserve">  </w:t>
      </w:r>
      <w:hyperlink r:id="rId43" w:history="1">
        <w:r w:rsidR="005127E4" w:rsidRPr="00FF0647">
          <w:rPr>
            <w:rStyle w:val="Hyperlink"/>
            <w:lang w:val="en-GB"/>
          </w:rPr>
          <w:t>Morrison Government invests $2.7 billion in transport infrastructure to boost NSW economic recovery</w:t>
        </w:r>
      </w:hyperlink>
    </w:p>
    <w:p w:rsidR="00893470" w:rsidRPr="00FF0647" w:rsidRDefault="00893470" w:rsidP="00893470">
      <w:pPr>
        <w:pStyle w:val="Heading3"/>
        <w:rPr>
          <w:lang w:val="en-GB"/>
        </w:rPr>
      </w:pPr>
      <w:bookmarkStart w:id="36" w:name="_Toc52955463"/>
      <w:r w:rsidRPr="00FF0647">
        <w:rPr>
          <w:lang w:val="en-GB"/>
        </w:rPr>
        <w:t>Northern Territory</w:t>
      </w:r>
      <w:bookmarkEnd w:id="36"/>
    </w:p>
    <w:p w:rsidR="00893470" w:rsidRPr="00FF0647" w:rsidRDefault="00CC3C34" w:rsidP="00AF053E">
      <w:pPr>
        <w:rPr>
          <w:lang w:val="en-GB"/>
        </w:rPr>
      </w:pPr>
      <w:r w:rsidRPr="00FF0647">
        <w:rPr>
          <w:lang w:val="en-GB"/>
        </w:rPr>
        <w:t xml:space="preserve">$190 million investment in transport infrastructure. </w:t>
      </w:r>
      <w:r w:rsidR="002A022C" w:rsidRPr="00FF0647">
        <w:rPr>
          <w:lang w:val="en-GB"/>
        </w:rPr>
        <w:t>Key investments include:</w:t>
      </w:r>
    </w:p>
    <w:p w:rsidR="002A022C" w:rsidRPr="00FF0647" w:rsidRDefault="002A022C" w:rsidP="002A022C">
      <w:pPr>
        <w:pStyle w:val="ListParagraph"/>
      </w:pPr>
      <w:r w:rsidRPr="00FF0647">
        <w:t xml:space="preserve">$120 million for upgrades to the Carpentaria Highway </w:t>
      </w:r>
    </w:p>
    <w:p w:rsidR="002A022C" w:rsidRPr="00FF0647" w:rsidRDefault="002A022C" w:rsidP="002A022C">
      <w:pPr>
        <w:pStyle w:val="ListParagraph"/>
      </w:pPr>
      <w:r w:rsidRPr="00FF0647">
        <w:lastRenderedPageBreak/>
        <w:t>$23 million to upgrade the Stuart Highway at Coolalinga</w:t>
      </w:r>
      <w:r w:rsidR="002427D3" w:rsidRPr="00FF0647">
        <w:t xml:space="preserve"> (part of the $47 million National Network Highway Upgrades across the Territory)</w:t>
      </w:r>
    </w:p>
    <w:p w:rsidR="00893470" w:rsidRPr="00FF0647" w:rsidRDefault="00893470" w:rsidP="00AF053E">
      <w:pPr>
        <w:rPr>
          <w:b/>
          <w:bCs/>
          <w:lang w:val="en-GB"/>
        </w:rPr>
      </w:pPr>
    </w:p>
    <w:p w:rsidR="00893470" w:rsidRPr="00FF0647" w:rsidRDefault="008D0BED" w:rsidP="00AF053E">
      <w:pPr>
        <w:rPr>
          <w:lang w:val="en-GB"/>
        </w:rPr>
      </w:pPr>
      <w:r w:rsidRPr="00FF0647">
        <w:rPr>
          <w:rFonts w:ascii="Wingdings 3" w:hAnsi="Wingdings 3"/>
          <w:b/>
          <w:bCs/>
          <w:color w:val="34B6E4"/>
          <w:lang w:val="en-GB"/>
        </w:rPr>
        <w:t>4</w:t>
      </w:r>
      <w:r w:rsidRPr="00FF0647">
        <w:rPr>
          <w:color w:val="34B6E4"/>
          <w:lang w:val="en-GB"/>
        </w:rPr>
        <w:t xml:space="preserve">  </w:t>
      </w:r>
      <w:hyperlink r:id="rId44" w:history="1">
        <w:r w:rsidR="00893470" w:rsidRPr="00FF0647">
          <w:rPr>
            <w:rStyle w:val="Hyperlink"/>
            <w:lang w:val="en-GB"/>
          </w:rPr>
          <w:t>Budget infrastructure investment supports economic recovery in the territory</w:t>
        </w:r>
      </w:hyperlink>
    </w:p>
    <w:p w:rsidR="00604460" w:rsidRPr="00FF0647" w:rsidRDefault="00604460" w:rsidP="00604460">
      <w:pPr>
        <w:pStyle w:val="Heading3"/>
        <w:rPr>
          <w:lang w:val="en-GB"/>
        </w:rPr>
      </w:pPr>
      <w:bookmarkStart w:id="37" w:name="_Toc52955464"/>
      <w:r w:rsidRPr="00FF0647">
        <w:rPr>
          <w:lang w:val="en-GB"/>
        </w:rPr>
        <w:t>Queensland</w:t>
      </w:r>
      <w:bookmarkEnd w:id="37"/>
    </w:p>
    <w:p w:rsidR="00604460" w:rsidRPr="00FF0647" w:rsidRDefault="00604460" w:rsidP="00604460">
      <w:pPr>
        <w:rPr>
          <w:lang w:val="en-GB"/>
        </w:rPr>
      </w:pPr>
      <w:r w:rsidRPr="00FF0647">
        <w:rPr>
          <w:lang w:val="en-GB"/>
        </w:rPr>
        <w:t>$1.3 billion investment in transport infrastructure. Key investments include:</w:t>
      </w:r>
    </w:p>
    <w:p w:rsidR="00604460" w:rsidRPr="00FF0647" w:rsidRDefault="00604460" w:rsidP="00604460">
      <w:pPr>
        <w:pStyle w:val="ListParagraph"/>
      </w:pPr>
      <w:r w:rsidRPr="00FF0647">
        <w:t>$750 million for Stage 1 of the Coomera Connector (Coomera to Nerang)</w:t>
      </w:r>
    </w:p>
    <w:p w:rsidR="00604460" w:rsidRPr="00FF0647" w:rsidRDefault="00604460" w:rsidP="00604460">
      <w:pPr>
        <w:pStyle w:val="ListParagraph"/>
      </w:pPr>
      <w:r w:rsidRPr="00FF0647">
        <w:t>$112 million for the Centenary Bridge Upgrade in Brisbane</w:t>
      </w:r>
    </w:p>
    <w:p w:rsidR="00604460" w:rsidRPr="00FF0647" w:rsidRDefault="00604460" w:rsidP="00604460">
      <w:pPr>
        <w:pStyle w:val="ListParagraph"/>
      </w:pPr>
      <w:r w:rsidRPr="00FF0647">
        <w:t>$76 million for Stage 2 of the Riverway Drive Upgrade between Allambie Lane and Dunlop Street in Townsville</w:t>
      </w:r>
    </w:p>
    <w:p w:rsidR="00604460" w:rsidRPr="00FF0647" w:rsidRDefault="00604460" w:rsidP="00604460">
      <w:pPr>
        <w:pStyle w:val="ListParagraph"/>
      </w:pPr>
      <w:r w:rsidRPr="00FF0647">
        <w:t>$42 million for the Mt Lindesay Highway Upgrade between Johanna Street and South Street in Jimboomba.</w:t>
      </w:r>
    </w:p>
    <w:p w:rsidR="00604460" w:rsidRPr="00FF0647" w:rsidRDefault="00604460" w:rsidP="00604460">
      <w:pPr>
        <w:rPr>
          <w:lang w:val="en-GB"/>
        </w:rPr>
      </w:pPr>
    </w:p>
    <w:p w:rsidR="00604460" w:rsidRPr="00FF0647" w:rsidRDefault="008D0BED" w:rsidP="00AF053E">
      <w:pPr>
        <w:rPr>
          <w:lang w:val="en-GB"/>
        </w:rPr>
      </w:pPr>
      <w:r w:rsidRPr="00FF0647">
        <w:rPr>
          <w:rFonts w:ascii="Wingdings 3" w:hAnsi="Wingdings 3"/>
          <w:b/>
          <w:bCs/>
          <w:color w:val="34B6E4"/>
          <w:lang w:val="en-GB"/>
        </w:rPr>
        <w:t>4</w:t>
      </w:r>
      <w:r w:rsidRPr="00FF0647">
        <w:rPr>
          <w:color w:val="34B6E4"/>
          <w:lang w:val="en-GB"/>
        </w:rPr>
        <w:t xml:space="preserve">  </w:t>
      </w:r>
      <w:hyperlink r:id="rId45" w:history="1">
        <w:r w:rsidR="00604460" w:rsidRPr="00FF0647">
          <w:rPr>
            <w:rStyle w:val="Hyperlink"/>
            <w:lang w:val="en-GB"/>
          </w:rPr>
          <w:t>Morrison Government invests $1.3 billion in transport infrastructure to boost QLD economic recovery</w:t>
        </w:r>
      </w:hyperlink>
    </w:p>
    <w:p w:rsidR="00CE641E" w:rsidRPr="00FF0647" w:rsidRDefault="00CE641E" w:rsidP="00CE641E">
      <w:pPr>
        <w:pStyle w:val="Heading3"/>
        <w:rPr>
          <w:lang w:val="en-GB"/>
        </w:rPr>
      </w:pPr>
      <w:bookmarkStart w:id="38" w:name="_Toc52955465"/>
      <w:r w:rsidRPr="00FF0647">
        <w:rPr>
          <w:lang w:val="en-GB"/>
        </w:rPr>
        <w:t>South Australia</w:t>
      </w:r>
      <w:bookmarkEnd w:id="38"/>
    </w:p>
    <w:p w:rsidR="00CE641E" w:rsidRPr="00FF0647" w:rsidRDefault="00CE641E" w:rsidP="00CE641E">
      <w:pPr>
        <w:rPr>
          <w:lang w:val="en-GB"/>
        </w:rPr>
      </w:pPr>
      <w:r w:rsidRPr="00FF0647">
        <w:rPr>
          <w:lang w:val="en-GB"/>
        </w:rPr>
        <w:t>$</w:t>
      </w:r>
      <w:r w:rsidR="00915243" w:rsidRPr="00FF0647">
        <w:rPr>
          <w:lang w:val="en-GB"/>
        </w:rPr>
        <w:t>625 million</w:t>
      </w:r>
      <w:r w:rsidRPr="00FF0647">
        <w:rPr>
          <w:lang w:val="en-GB"/>
        </w:rPr>
        <w:t xml:space="preserve"> investment in transport infrastructure. Key investments include:</w:t>
      </w:r>
    </w:p>
    <w:p w:rsidR="00915243" w:rsidRPr="00FF0647" w:rsidRDefault="00915243" w:rsidP="00915243">
      <w:pPr>
        <w:pStyle w:val="ListParagraph"/>
      </w:pPr>
      <w:r w:rsidRPr="00FF0647">
        <w:t>$200 million for the Hahndorf Township Improvements and Access Upgrade</w:t>
      </w:r>
    </w:p>
    <w:p w:rsidR="00915243" w:rsidRPr="00FF0647" w:rsidRDefault="00915243" w:rsidP="00915243">
      <w:pPr>
        <w:pStyle w:val="ListParagraph"/>
      </w:pPr>
      <w:r w:rsidRPr="00FF0647">
        <w:t>$136 million for Stage 2 of the Main South Road Duplication between Aldinga and Sellicks Beach</w:t>
      </w:r>
    </w:p>
    <w:p w:rsidR="00915243" w:rsidRPr="00FF0647" w:rsidRDefault="00915243" w:rsidP="00915243">
      <w:pPr>
        <w:pStyle w:val="ListParagraph"/>
      </w:pPr>
      <w:r w:rsidRPr="00FF0647">
        <w:t>$100 million for the Strzelecki Track Upgrade.</w:t>
      </w:r>
    </w:p>
    <w:p w:rsidR="00CE641E" w:rsidRPr="00FF0647" w:rsidRDefault="00CE641E" w:rsidP="00CE641E">
      <w:pPr>
        <w:rPr>
          <w:lang w:val="en-GB"/>
        </w:rPr>
      </w:pPr>
    </w:p>
    <w:p w:rsidR="00CE641E" w:rsidRPr="00FF0647" w:rsidRDefault="008D0BED" w:rsidP="00AF053E">
      <w:pPr>
        <w:rPr>
          <w:lang w:val="en-GB"/>
        </w:rPr>
      </w:pPr>
      <w:r w:rsidRPr="00FF0647">
        <w:rPr>
          <w:rFonts w:ascii="Wingdings 3" w:hAnsi="Wingdings 3"/>
          <w:b/>
          <w:bCs/>
          <w:color w:val="34B6E4"/>
          <w:lang w:val="en-GB"/>
        </w:rPr>
        <w:t>4</w:t>
      </w:r>
      <w:r w:rsidRPr="00FF0647">
        <w:rPr>
          <w:color w:val="34B6E4"/>
          <w:lang w:val="en-GB"/>
        </w:rPr>
        <w:t xml:space="preserve">  </w:t>
      </w:r>
      <w:hyperlink r:id="rId46" w:history="1">
        <w:r w:rsidR="00CE641E" w:rsidRPr="00FF0647">
          <w:rPr>
            <w:rStyle w:val="Hyperlink"/>
            <w:lang w:val="en-GB"/>
          </w:rPr>
          <w:t>Morrison Government invests $625 million in transport infrastructure to boost SA economic recovery</w:t>
        </w:r>
      </w:hyperlink>
    </w:p>
    <w:p w:rsidR="00893470" w:rsidRPr="00FF0647" w:rsidRDefault="00893470" w:rsidP="00893470">
      <w:pPr>
        <w:pStyle w:val="Heading3"/>
        <w:rPr>
          <w:lang w:val="en-GB"/>
        </w:rPr>
      </w:pPr>
      <w:bookmarkStart w:id="39" w:name="_Toc52955466"/>
      <w:r w:rsidRPr="00FF0647">
        <w:rPr>
          <w:lang w:val="en-GB"/>
        </w:rPr>
        <w:t>Tasmania</w:t>
      </w:r>
      <w:bookmarkEnd w:id="39"/>
    </w:p>
    <w:p w:rsidR="00294D74" w:rsidRPr="00FF0647" w:rsidRDefault="00294D74" w:rsidP="00294D74">
      <w:pPr>
        <w:rPr>
          <w:lang w:val="en-GB"/>
        </w:rPr>
      </w:pPr>
      <w:r w:rsidRPr="00FF0647">
        <w:rPr>
          <w:lang w:val="en-GB"/>
        </w:rPr>
        <w:t>$360 million</w:t>
      </w:r>
      <w:r w:rsidR="00604460" w:rsidRPr="00FF0647">
        <w:rPr>
          <w:lang w:val="en-GB"/>
        </w:rPr>
        <w:t xml:space="preserve"> investment in transport infrastructure</w:t>
      </w:r>
      <w:r w:rsidRPr="00FF0647">
        <w:rPr>
          <w:lang w:val="en-GB"/>
        </w:rPr>
        <w:t>. Key investments include:</w:t>
      </w:r>
    </w:p>
    <w:p w:rsidR="00294D74" w:rsidRPr="00FF0647" w:rsidRDefault="00294D74" w:rsidP="00294D74">
      <w:pPr>
        <w:pStyle w:val="ListParagraph"/>
      </w:pPr>
      <w:r w:rsidRPr="00FF0647">
        <w:t>$150 million for the Midway Point Causeway (including McGees Bridge) and Sorell Causeway as part of the Hobart to Sorell Roads of Strategic Importance corridor</w:t>
      </w:r>
    </w:p>
    <w:p w:rsidR="00294D74" w:rsidRPr="00FF0647" w:rsidRDefault="00294D74" w:rsidP="00294D74">
      <w:pPr>
        <w:pStyle w:val="ListParagraph"/>
      </w:pPr>
      <w:r w:rsidRPr="00FF0647">
        <w:t>$65 million to upgrade the Tasman Bridge</w:t>
      </w:r>
    </w:p>
    <w:p w:rsidR="00294D74" w:rsidRPr="00FF0647" w:rsidRDefault="00294D74" w:rsidP="00294D74">
      <w:pPr>
        <w:rPr>
          <w:lang w:val="en-GB"/>
        </w:rPr>
      </w:pPr>
    </w:p>
    <w:p w:rsidR="00893470" w:rsidRPr="00FF0647" w:rsidRDefault="008D0BED" w:rsidP="00AF053E">
      <w:pPr>
        <w:rPr>
          <w:lang w:val="en-GB"/>
        </w:rPr>
      </w:pPr>
      <w:r w:rsidRPr="00FF0647">
        <w:rPr>
          <w:rFonts w:ascii="Wingdings 3" w:hAnsi="Wingdings 3"/>
          <w:b/>
          <w:bCs/>
          <w:color w:val="34B6E4"/>
          <w:lang w:val="en-GB"/>
        </w:rPr>
        <w:t>4</w:t>
      </w:r>
      <w:r w:rsidRPr="00FF0647">
        <w:rPr>
          <w:color w:val="34B6E4"/>
          <w:lang w:val="en-GB"/>
        </w:rPr>
        <w:t xml:space="preserve"> </w:t>
      </w:r>
      <w:r w:rsidR="00893470" w:rsidRPr="00FF0647">
        <w:rPr>
          <w:b/>
          <w:bCs/>
          <w:lang w:val="en-GB"/>
        </w:rPr>
        <w:t xml:space="preserve"> </w:t>
      </w:r>
      <w:hyperlink r:id="rId47" w:history="1">
        <w:r w:rsidR="00893470" w:rsidRPr="00FF0647">
          <w:rPr>
            <w:rStyle w:val="Hyperlink"/>
            <w:lang w:val="en-GB"/>
          </w:rPr>
          <w:t>Morrison Government invests $360 million in transport infrastructure to boost Tasmanian economic recovery</w:t>
        </w:r>
      </w:hyperlink>
    </w:p>
    <w:p w:rsidR="00604460" w:rsidRPr="00FF0647" w:rsidRDefault="00604460" w:rsidP="00604460">
      <w:pPr>
        <w:pStyle w:val="Heading3"/>
        <w:rPr>
          <w:lang w:val="en-GB"/>
        </w:rPr>
      </w:pPr>
      <w:bookmarkStart w:id="40" w:name="_Toc52955467"/>
      <w:r w:rsidRPr="00FF0647">
        <w:rPr>
          <w:lang w:val="en-GB"/>
        </w:rPr>
        <w:t>Victoria</w:t>
      </w:r>
      <w:bookmarkEnd w:id="40"/>
    </w:p>
    <w:p w:rsidR="00604460" w:rsidRPr="00FF0647" w:rsidRDefault="00604460" w:rsidP="00604460">
      <w:pPr>
        <w:rPr>
          <w:lang w:val="en-GB"/>
        </w:rPr>
      </w:pPr>
      <w:r w:rsidRPr="00FF0647">
        <w:rPr>
          <w:lang w:val="en-GB"/>
        </w:rPr>
        <w:t>$1.1 billion investment in transport infrastructure. Key investments include:</w:t>
      </w:r>
    </w:p>
    <w:p w:rsidR="00604460" w:rsidRPr="00FF0647" w:rsidRDefault="00604460" w:rsidP="00604460">
      <w:pPr>
        <w:pStyle w:val="ListParagraph"/>
      </w:pPr>
      <w:r w:rsidRPr="00FF0647">
        <w:t>$320 million for the Shepparton Rail Line Upgrade</w:t>
      </w:r>
    </w:p>
    <w:p w:rsidR="00604460" w:rsidRPr="00FF0647" w:rsidRDefault="00604460" w:rsidP="00604460">
      <w:pPr>
        <w:pStyle w:val="ListParagraph"/>
      </w:pPr>
      <w:r w:rsidRPr="00FF0647">
        <w:t>$208 million for Stage 2 of the Warrnambool Rail Line Upgrade</w:t>
      </w:r>
    </w:p>
    <w:p w:rsidR="00EA1328" w:rsidRPr="00FF0647" w:rsidRDefault="00604460" w:rsidP="00604460">
      <w:pPr>
        <w:pStyle w:val="ListParagraph"/>
      </w:pPr>
      <w:r w:rsidRPr="00FF0647">
        <w:t>$292 million for the Barwon Heads Road Upgrade</w:t>
      </w:r>
    </w:p>
    <w:p w:rsidR="00604460" w:rsidRPr="00FF0647" w:rsidRDefault="00604460" w:rsidP="00604460">
      <w:pPr>
        <w:pStyle w:val="ListParagraph"/>
      </w:pPr>
      <w:r w:rsidRPr="00FF0647">
        <w:t>$85 million to upgrade Hall Road in Cranbourne</w:t>
      </w:r>
    </w:p>
    <w:p w:rsidR="00604460" w:rsidRPr="00FF0647" w:rsidRDefault="00604460" w:rsidP="00604460">
      <w:pPr>
        <w:pStyle w:val="ListParagraph"/>
      </w:pPr>
      <w:r w:rsidRPr="00FF0647">
        <w:t>Work on Stages 2 and 3 of the South Geelong to Waurn Ponds Rail Upgrade will be accelerated with $605 million brought forward into the forward estimates.</w:t>
      </w:r>
    </w:p>
    <w:p w:rsidR="00604460" w:rsidRPr="00FF0647" w:rsidRDefault="00604460" w:rsidP="00604460">
      <w:pPr>
        <w:rPr>
          <w:lang w:val="en-GB"/>
        </w:rPr>
      </w:pPr>
    </w:p>
    <w:p w:rsidR="00604460" w:rsidRDefault="008D0BED" w:rsidP="00AF053E">
      <w:pPr>
        <w:rPr>
          <w:lang w:val="en-GB"/>
        </w:rPr>
      </w:pPr>
      <w:r w:rsidRPr="00FF0647">
        <w:rPr>
          <w:rFonts w:ascii="Wingdings 3" w:hAnsi="Wingdings 3"/>
          <w:b/>
          <w:bCs/>
          <w:color w:val="34B6E4"/>
          <w:lang w:val="en-GB"/>
        </w:rPr>
        <w:lastRenderedPageBreak/>
        <w:t>4</w:t>
      </w:r>
      <w:r w:rsidRPr="00FF0647">
        <w:rPr>
          <w:color w:val="34B6E4"/>
          <w:lang w:val="en-GB"/>
        </w:rPr>
        <w:t xml:space="preserve">  </w:t>
      </w:r>
      <w:hyperlink r:id="rId48" w:history="1">
        <w:r w:rsidR="00604460" w:rsidRPr="00FF0647">
          <w:rPr>
            <w:rStyle w:val="Hyperlink"/>
            <w:lang w:val="en-GB"/>
          </w:rPr>
          <w:t>Morrison Government invests $1.1 billion in transport infrastructure to boost Victorian economic recovery</w:t>
        </w:r>
      </w:hyperlink>
    </w:p>
    <w:p w:rsidR="00E9138E" w:rsidRDefault="00E9138E" w:rsidP="00E9138E">
      <w:pPr>
        <w:pStyle w:val="Heading3"/>
        <w:rPr>
          <w:lang w:val="en-GB"/>
        </w:rPr>
      </w:pPr>
      <w:bookmarkStart w:id="41" w:name="_Toc52955468"/>
      <w:r>
        <w:rPr>
          <w:lang w:val="en-GB"/>
        </w:rPr>
        <w:t>Western Australia</w:t>
      </w:r>
      <w:bookmarkEnd w:id="41"/>
    </w:p>
    <w:p w:rsidR="008D11DD" w:rsidRDefault="008D11DD" w:rsidP="008D11DD">
      <w:pPr>
        <w:rPr>
          <w:lang w:val="en-GB"/>
        </w:rPr>
      </w:pPr>
      <w:r w:rsidRPr="004D1879">
        <w:rPr>
          <w:lang w:val="en-GB"/>
        </w:rPr>
        <w:t xml:space="preserve">$1.1 billion investment in transport </w:t>
      </w:r>
      <w:r>
        <w:rPr>
          <w:lang w:val="en-GB"/>
        </w:rPr>
        <w:t xml:space="preserve">and </w:t>
      </w:r>
      <w:r w:rsidRPr="000B7A02">
        <w:rPr>
          <w:lang w:val="en-GB"/>
        </w:rPr>
        <w:t>infrastructure</w:t>
      </w:r>
      <w:r>
        <w:rPr>
          <w:lang w:val="en-GB"/>
        </w:rPr>
        <w:t>.  Key investments include:</w:t>
      </w:r>
    </w:p>
    <w:p w:rsidR="008D11DD" w:rsidRDefault="008D11DD" w:rsidP="008D11DD">
      <w:pPr>
        <w:pStyle w:val="ListParagraph"/>
      </w:pPr>
      <w:r w:rsidRPr="0037722F">
        <w:t>$88 million for the Reid Highway Interchange with West Swan Road</w:t>
      </w:r>
    </w:p>
    <w:p w:rsidR="008D11DD" w:rsidRDefault="008D11DD" w:rsidP="008D11DD">
      <w:pPr>
        <w:pStyle w:val="ListParagraph"/>
      </w:pPr>
      <w:r w:rsidRPr="0037722F">
        <w:t>$70 million for the Roe Highway Widening and Abernethy Road Upgrade</w:t>
      </w:r>
    </w:p>
    <w:p w:rsidR="008D11DD" w:rsidRDefault="008D11DD" w:rsidP="008D11DD">
      <w:pPr>
        <w:pStyle w:val="ListParagraph"/>
      </w:pPr>
      <w:r w:rsidRPr="0037722F">
        <w:t>$16 million to undertake sealing of priority sections of the Goldfields Highway between Wiluna and Meekatharra</w:t>
      </w:r>
    </w:p>
    <w:p w:rsidR="008D11DD" w:rsidRPr="000B7A02" w:rsidRDefault="008D11DD" w:rsidP="008D11DD">
      <w:pPr>
        <w:pStyle w:val="ListParagraph"/>
      </w:pPr>
      <w:r w:rsidRPr="0037722F">
        <w:t>$16 million to undertake upgrades on the Broome-Cape Leveque Road and associated community access roads.</w:t>
      </w:r>
    </w:p>
    <w:p w:rsidR="008D11DD" w:rsidRDefault="008D11DD" w:rsidP="008D11DD">
      <w:pPr>
        <w:rPr>
          <w:rFonts w:ascii="Wingdings 3" w:hAnsi="Wingdings 3"/>
          <w:b/>
          <w:bCs/>
          <w:color w:val="34B6E4"/>
          <w:lang w:val="en-GB"/>
        </w:rPr>
      </w:pPr>
    </w:p>
    <w:p w:rsidR="00E9138E" w:rsidRPr="00FF0647" w:rsidRDefault="008D11DD" w:rsidP="00AF053E">
      <w:pPr>
        <w:rPr>
          <w:lang w:val="en-GB"/>
        </w:rPr>
      </w:pPr>
      <w:r w:rsidRPr="00FF0647">
        <w:rPr>
          <w:rFonts w:ascii="Wingdings 3" w:hAnsi="Wingdings 3"/>
          <w:b/>
          <w:bCs/>
          <w:color w:val="34B6E4"/>
          <w:lang w:val="en-GB"/>
        </w:rPr>
        <w:t>4</w:t>
      </w:r>
      <w:r w:rsidRPr="00FF0647">
        <w:rPr>
          <w:color w:val="34B6E4"/>
          <w:lang w:val="en-GB"/>
        </w:rPr>
        <w:t xml:space="preserve">  </w:t>
      </w:r>
      <w:hyperlink r:id="rId49" w:history="1">
        <w:r w:rsidRPr="007361FD">
          <w:rPr>
            <w:rStyle w:val="Hyperlink"/>
            <w:lang w:val="en-GB"/>
          </w:rPr>
          <w:t>Morrison Government invests $1.1 billion in transport infrastructure to boost WA economic recovery</w:t>
        </w:r>
      </w:hyperlink>
    </w:p>
    <w:p w:rsidR="00A014B9" w:rsidRDefault="00A014B9" w:rsidP="00117D92">
      <w:pPr>
        <w:pStyle w:val="Heading2"/>
        <w:rPr>
          <w:lang w:val="en-GB"/>
        </w:rPr>
      </w:pPr>
      <w:bookmarkStart w:id="42" w:name="_Toc52955469"/>
      <w:r>
        <w:rPr>
          <w:lang w:val="en-GB"/>
        </w:rPr>
        <w:t>Road and safety upgrades</w:t>
      </w:r>
      <w:bookmarkEnd w:id="42"/>
    </w:p>
    <w:p w:rsidR="00A014B9" w:rsidRPr="00A014B9" w:rsidRDefault="00A014B9" w:rsidP="00A014B9">
      <w:pPr>
        <w:rPr>
          <w:lang w:val="en-GB"/>
        </w:rPr>
      </w:pPr>
      <w:r w:rsidRPr="00A014B9">
        <w:rPr>
          <w:lang w:val="en-GB"/>
        </w:rPr>
        <w:t>The Government will provide $2 billion over two years from 2020-21 to deliver small</w:t>
      </w:r>
      <w:r>
        <w:rPr>
          <w:lang w:val="en-GB"/>
        </w:rPr>
        <w:t xml:space="preserve"> </w:t>
      </w:r>
      <w:r w:rsidRPr="00A014B9">
        <w:rPr>
          <w:lang w:val="en-GB"/>
        </w:rPr>
        <w:t>scale road safety projects to provide short term economic stimulus.</w:t>
      </w:r>
      <w:r>
        <w:rPr>
          <w:lang w:val="en-GB"/>
        </w:rPr>
        <w:t xml:space="preserve"> </w:t>
      </w:r>
      <w:r w:rsidRPr="00A014B9">
        <w:rPr>
          <w:lang w:val="en-GB"/>
        </w:rPr>
        <w:t>Road safety projects</w:t>
      </w:r>
      <w:r>
        <w:rPr>
          <w:lang w:val="en-GB"/>
        </w:rPr>
        <w:t xml:space="preserve"> </w:t>
      </w:r>
      <w:r w:rsidRPr="00A014B9">
        <w:rPr>
          <w:lang w:val="en-GB"/>
        </w:rPr>
        <w:t>such as road widening, centre lines and barriers will be identified and delivered by</w:t>
      </w:r>
      <w:r>
        <w:rPr>
          <w:lang w:val="en-GB"/>
        </w:rPr>
        <w:t xml:space="preserve"> </w:t>
      </w:r>
      <w:r w:rsidRPr="00A014B9">
        <w:rPr>
          <w:lang w:val="en-GB"/>
        </w:rPr>
        <w:t>jurisdictions in three six-month tranches to improve safety on Australian roads while</w:t>
      </w:r>
      <w:r>
        <w:rPr>
          <w:lang w:val="en-GB"/>
        </w:rPr>
        <w:t xml:space="preserve"> </w:t>
      </w:r>
      <w:r w:rsidRPr="00A014B9">
        <w:rPr>
          <w:lang w:val="en-GB"/>
        </w:rPr>
        <w:t>stimulating local economies.</w:t>
      </w:r>
    </w:p>
    <w:p w:rsidR="00CA7342" w:rsidRPr="0033473A" w:rsidRDefault="00117D92" w:rsidP="001A18D2">
      <w:pPr>
        <w:pStyle w:val="Heading2"/>
        <w:rPr>
          <w:lang w:val="en-GB"/>
        </w:rPr>
      </w:pPr>
      <w:bookmarkStart w:id="43" w:name="_Toc52955470"/>
      <w:r w:rsidRPr="0033473A">
        <w:rPr>
          <w:lang w:val="en-GB"/>
        </w:rPr>
        <w:t>$</w:t>
      </w:r>
      <w:r w:rsidR="00CA7342" w:rsidRPr="0033473A">
        <w:rPr>
          <w:lang w:val="en-GB"/>
        </w:rPr>
        <w:t xml:space="preserve">150m for </w:t>
      </w:r>
      <w:r w:rsidRPr="0033473A">
        <w:rPr>
          <w:lang w:val="en-GB"/>
        </w:rPr>
        <w:t xml:space="preserve">indigenous </w:t>
      </w:r>
      <w:r w:rsidRPr="001A18D2">
        <w:t>home</w:t>
      </w:r>
      <w:r w:rsidRPr="0033473A">
        <w:rPr>
          <w:lang w:val="en-GB"/>
        </w:rPr>
        <w:t xml:space="preserve"> ownership program</w:t>
      </w:r>
      <w:bookmarkEnd w:id="43"/>
    </w:p>
    <w:p w:rsidR="00117D92" w:rsidRPr="00FF0647" w:rsidRDefault="00117D92" w:rsidP="00117D92">
      <w:pPr>
        <w:rPr>
          <w:lang w:val="en-GB"/>
        </w:rPr>
      </w:pPr>
      <w:r w:rsidRPr="00FF0647">
        <w:rPr>
          <w:lang w:val="en-GB"/>
        </w:rPr>
        <w:t xml:space="preserve">$150 million will be provided over 3 years </w:t>
      </w:r>
      <w:r w:rsidR="0033473A">
        <w:rPr>
          <w:lang w:val="en-GB"/>
        </w:rPr>
        <w:t xml:space="preserve">from 2020-21 </w:t>
      </w:r>
      <w:r w:rsidRPr="00FF0647">
        <w:rPr>
          <w:lang w:val="en-GB"/>
        </w:rPr>
        <w:t>to Indigenous Business Australia for new housing construction loans in regional Australia through its Indigenous Home Ownership Program.</w:t>
      </w:r>
    </w:p>
    <w:p w:rsidR="00117D92" w:rsidRPr="00FF0647" w:rsidRDefault="00117D92" w:rsidP="00117D92">
      <w:pPr>
        <w:rPr>
          <w:lang w:val="en-GB"/>
        </w:rPr>
      </w:pPr>
    </w:p>
    <w:p w:rsidR="001A18D2" w:rsidRDefault="001A18D2">
      <w:pPr>
        <w:spacing w:after="200"/>
        <w:rPr>
          <w:rFonts w:eastAsiaTheme="majorEastAsia" w:cstheme="majorBidi"/>
          <w:color w:val="262626" w:themeColor="text1" w:themeTint="D9"/>
          <w:sz w:val="48"/>
          <w:szCs w:val="44"/>
          <w:lang w:val="en-GB"/>
        </w:rPr>
      </w:pPr>
      <w:r>
        <w:rPr>
          <w:lang w:val="en-GB"/>
        </w:rPr>
        <w:br w:type="page"/>
      </w:r>
    </w:p>
    <w:p w:rsidR="00344474" w:rsidRDefault="00CA7342" w:rsidP="00344474">
      <w:pPr>
        <w:pStyle w:val="Heading1"/>
        <w:rPr>
          <w:lang w:val="en-GB"/>
        </w:rPr>
      </w:pPr>
      <w:bookmarkStart w:id="44" w:name="_Toc52955471"/>
      <w:r w:rsidRPr="00FF0647">
        <w:rPr>
          <w:lang w:val="en-GB"/>
        </w:rPr>
        <w:lastRenderedPageBreak/>
        <w:t>Other</w:t>
      </w:r>
      <w:bookmarkEnd w:id="44"/>
    </w:p>
    <w:p w:rsidR="0080557B" w:rsidRPr="008132DE" w:rsidRDefault="0080557B" w:rsidP="001A18D2">
      <w:pPr>
        <w:pStyle w:val="Heading2"/>
        <w:rPr>
          <w:lang w:val="en-GB"/>
        </w:rPr>
      </w:pPr>
      <w:bookmarkStart w:id="45" w:name="_Toc52955472"/>
      <w:r w:rsidRPr="008132DE">
        <w:rPr>
          <w:lang w:val="en-GB"/>
        </w:rPr>
        <w:t xml:space="preserve">$1bn university </w:t>
      </w:r>
      <w:r w:rsidRPr="001A18D2">
        <w:t>research</w:t>
      </w:r>
      <w:r w:rsidRPr="008132DE">
        <w:rPr>
          <w:lang w:val="en-GB"/>
        </w:rPr>
        <w:t xml:space="preserve"> package</w:t>
      </w:r>
      <w:bookmarkEnd w:id="45"/>
    </w:p>
    <w:p w:rsidR="0080557B" w:rsidRDefault="0080557B" w:rsidP="0080557B">
      <w:pPr>
        <w:rPr>
          <w:lang w:val="en-GB"/>
        </w:rPr>
      </w:pPr>
      <w:r>
        <w:rPr>
          <w:lang w:val="en-GB"/>
        </w:rPr>
        <w:t xml:space="preserve">The Government has committed $1bn in 2020-21 to </w:t>
      </w:r>
      <w:r w:rsidRPr="000E15A9">
        <w:rPr>
          <w:lang w:val="en-GB"/>
        </w:rPr>
        <w:t>safeguard Australia’s research</w:t>
      </w:r>
      <w:r>
        <w:rPr>
          <w:lang w:val="en-GB"/>
        </w:rPr>
        <w:t xml:space="preserve"> </w:t>
      </w:r>
      <w:r w:rsidRPr="000E15A9">
        <w:rPr>
          <w:lang w:val="en-GB"/>
        </w:rPr>
        <w:t>sector against the impacts of the COVID-19 pandemic</w:t>
      </w:r>
      <w:r>
        <w:rPr>
          <w:lang w:val="en-GB"/>
        </w:rPr>
        <w:t xml:space="preserve"> by </w:t>
      </w:r>
      <w:r w:rsidRPr="000E15A9">
        <w:rPr>
          <w:lang w:val="en-GB"/>
        </w:rPr>
        <w:t>support</w:t>
      </w:r>
      <w:r>
        <w:rPr>
          <w:lang w:val="en-GB"/>
        </w:rPr>
        <w:t xml:space="preserve">ing </w:t>
      </w:r>
      <w:r w:rsidRPr="000E15A9">
        <w:rPr>
          <w:lang w:val="en-GB"/>
        </w:rPr>
        <w:t>investments in nationally significant research</w:t>
      </w:r>
      <w:r>
        <w:rPr>
          <w:lang w:val="en-GB"/>
        </w:rPr>
        <w:t xml:space="preserve"> </w:t>
      </w:r>
      <w:r w:rsidRPr="000E15A9">
        <w:rPr>
          <w:lang w:val="en-GB"/>
        </w:rPr>
        <w:t xml:space="preserve">infrastructure, </w:t>
      </w:r>
      <w:r w:rsidR="00553B39">
        <w:rPr>
          <w:lang w:val="en-GB"/>
        </w:rPr>
        <w:t>securing</w:t>
      </w:r>
      <w:r w:rsidRPr="000E15A9">
        <w:rPr>
          <w:lang w:val="en-GB"/>
        </w:rPr>
        <w:t xml:space="preserve"> research jobs and</w:t>
      </w:r>
      <w:r>
        <w:rPr>
          <w:lang w:val="en-GB"/>
        </w:rPr>
        <w:t xml:space="preserve"> </w:t>
      </w:r>
      <w:r w:rsidRPr="000E15A9">
        <w:rPr>
          <w:lang w:val="en-GB"/>
        </w:rPr>
        <w:t>strengthen</w:t>
      </w:r>
      <w:r w:rsidR="00553B39">
        <w:rPr>
          <w:lang w:val="en-GB"/>
        </w:rPr>
        <w:t>ing</w:t>
      </w:r>
      <w:r w:rsidRPr="000E15A9">
        <w:rPr>
          <w:lang w:val="en-GB"/>
        </w:rPr>
        <w:t xml:space="preserve"> partnerships between universities and industry</w:t>
      </w:r>
      <w:r>
        <w:rPr>
          <w:lang w:val="en-GB"/>
        </w:rPr>
        <w:t>. The package includes:</w:t>
      </w:r>
    </w:p>
    <w:p w:rsidR="0080557B" w:rsidRDefault="0080557B" w:rsidP="0080557B">
      <w:pPr>
        <w:rPr>
          <w:lang w:val="en-GB"/>
        </w:rPr>
      </w:pPr>
    </w:p>
    <w:p w:rsidR="0080557B" w:rsidRDefault="0080557B" w:rsidP="0080557B">
      <w:pPr>
        <w:pStyle w:val="ListParagraph"/>
      </w:pPr>
      <w:r>
        <w:t xml:space="preserve">$1bn through the </w:t>
      </w:r>
      <w:r w:rsidRPr="000E15A9">
        <w:t>Research Support Program</w:t>
      </w:r>
      <w:r>
        <w:t xml:space="preserve"> to support the cost of research</w:t>
      </w:r>
    </w:p>
    <w:p w:rsidR="0080557B" w:rsidRDefault="0080557B" w:rsidP="0080557B">
      <w:pPr>
        <w:pStyle w:val="ListParagraph"/>
      </w:pPr>
      <w:r>
        <w:t>$41.6 million over four years</w:t>
      </w:r>
      <w:r w:rsidR="00553B39">
        <w:t xml:space="preserve"> from 2020-21</w:t>
      </w:r>
      <w:r>
        <w:t xml:space="preserve"> to </w:t>
      </w:r>
      <w:r w:rsidRPr="000E15A9">
        <w:t>establish a Strategic University Reform</w:t>
      </w:r>
      <w:r>
        <w:t xml:space="preserve"> </w:t>
      </w:r>
      <w:r w:rsidRPr="000E15A9">
        <w:t>Fund to bring together universities and local industries to partner on innovative</w:t>
      </w:r>
      <w:r>
        <w:t xml:space="preserve"> </w:t>
      </w:r>
      <w:r w:rsidRPr="000E15A9">
        <w:t>reform projects</w:t>
      </w:r>
    </w:p>
    <w:p w:rsidR="0080557B" w:rsidRPr="0080557B" w:rsidRDefault="0080557B" w:rsidP="002D5BF3">
      <w:pPr>
        <w:pStyle w:val="ListParagraph"/>
      </w:pPr>
      <w:r>
        <w:t>$20 million over four years from 2020-21 to establish a Centre for Augmented Reasoning at the University of Adelaide to improve machine learning</w:t>
      </w:r>
    </w:p>
    <w:p w:rsidR="003A3EFF" w:rsidRPr="008132DE" w:rsidRDefault="003A3EFF" w:rsidP="001A18D2">
      <w:pPr>
        <w:pStyle w:val="Heading2"/>
        <w:rPr>
          <w:lang w:val="en-GB"/>
        </w:rPr>
      </w:pPr>
      <w:bookmarkStart w:id="46" w:name="_Toc52955473"/>
      <w:r w:rsidRPr="008132DE">
        <w:rPr>
          <w:lang w:val="en-GB"/>
        </w:rPr>
        <w:t xml:space="preserve">Modern </w:t>
      </w:r>
      <w:r w:rsidRPr="001A18D2">
        <w:t>manufacturing</w:t>
      </w:r>
      <w:bookmarkEnd w:id="46"/>
    </w:p>
    <w:p w:rsidR="003A3EFF" w:rsidRDefault="003A3EFF" w:rsidP="0077172B">
      <w:pPr>
        <w:rPr>
          <w:lang w:val="en-GB"/>
        </w:rPr>
      </w:pPr>
      <w:r>
        <w:rPr>
          <w:lang w:val="en-GB"/>
        </w:rPr>
        <w:t xml:space="preserve">As previously announced, the Government has committed to </w:t>
      </w:r>
      <w:r w:rsidRPr="003A3EFF">
        <w:rPr>
          <w:lang w:val="en-GB"/>
        </w:rPr>
        <w:t>$1.5 billion over five years</w:t>
      </w:r>
      <w:r>
        <w:rPr>
          <w:lang w:val="en-GB"/>
        </w:rPr>
        <w:t xml:space="preserve"> </w:t>
      </w:r>
      <w:r w:rsidR="007F34E2">
        <w:rPr>
          <w:lang w:val="en-GB"/>
        </w:rPr>
        <w:t xml:space="preserve">from 2020-21 </w:t>
      </w:r>
      <w:r w:rsidRPr="003A3EFF">
        <w:rPr>
          <w:lang w:val="en-GB"/>
        </w:rPr>
        <w:t xml:space="preserve">to support </w:t>
      </w:r>
      <w:r>
        <w:rPr>
          <w:lang w:val="en-GB"/>
        </w:rPr>
        <w:t>its</w:t>
      </w:r>
      <w:r w:rsidR="007F34E2">
        <w:rPr>
          <w:lang w:val="en-GB"/>
        </w:rPr>
        <w:t xml:space="preserve"> </w:t>
      </w:r>
      <w:r w:rsidRPr="003A3EFF">
        <w:rPr>
          <w:i/>
          <w:iCs/>
          <w:lang w:val="en-GB"/>
        </w:rPr>
        <w:t>Modern Manufacturing Strategy</w:t>
      </w:r>
      <w:r>
        <w:rPr>
          <w:i/>
          <w:iCs/>
          <w:lang w:val="en-GB"/>
        </w:rPr>
        <w:t>.</w:t>
      </w:r>
      <w:r w:rsidR="0077172B">
        <w:rPr>
          <w:i/>
          <w:iCs/>
          <w:lang w:val="en-GB"/>
        </w:rPr>
        <w:t xml:space="preserve"> </w:t>
      </w:r>
      <w:r w:rsidR="0077172B">
        <w:rPr>
          <w:lang w:val="en-GB"/>
        </w:rPr>
        <w:t xml:space="preserve">This strategy has picked six industry winners including </w:t>
      </w:r>
      <w:r w:rsidR="0077172B" w:rsidRPr="0077172B">
        <w:rPr>
          <w:lang w:val="en-GB"/>
        </w:rPr>
        <w:t>resources</w:t>
      </w:r>
      <w:r w:rsidR="007F34E2">
        <w:rPr>
          <w:lang w:val="en-GB"/>
        </w:rPr>
        <w:t xml:space="preserve"> </w:t>
      </w:r>
      <w:r w:rsidR="0077172B" w:rsidRPr="0077172B">
        <w:rPr>
          <w:lang w:val="en-GB"/>
        </w:rPr>
        <w:t>technology &amp; critical minerals processing</w:t>
      </w:r>
      <w:r w:rsidR="00DE0A57">
        <w:rPr>
          <w:lang w:val="en-GB"/>
        </w:rPr>
        <w:t>,</w:t>
      </w:r>
      <w:r w:rsidR="0077172B" w:rsidRPr="0077172B">
        <w:rPr>
          <w:lang w:val="en-GB"/>
        </w:rPr>
        <w:t xml:space="preserve"> food &amp; beverages</w:t>
      </w:r>
      <w:r w:rsidR="00DE0A57">
        <w:rPr>
          <w:lang w:val="en-GB"/>
        </w:rPr>
        <w:t>,</w:t>
      </w:r>
      <w:r w:rsidR="0077172B" w:rsidRPr="0077172B">
        <w:rPr>
          <w:lang w:val="en-GB"/>
        </w:rPr>
        <w:t xml:space="preserve"> medical products</w:t>
      </w:r>
      <w:r w:rsidR="00DE0A57">
        <w:rPr>
          <w:lang w:val="en-GB"/>
        </w:rPr>
        <w:t>,</w:t>
      </w:r>
      <w:r w:rsidR="0077172B">
        <w:rPr>
          <w:lang w:val="en-GB"/>
        </w:rPr>
        <w:t xml:space="preserve"> </w:t>
      </w:r>
      <w:r w:rsidR="0077172B" w:rsidRPr="0077172B">
        <w:rPr>
          <w:lang w:val="en-GB"/>
        </w:rPr>
        <w:t>recycling &amp; clean energy</w:t>
      </w:r>
      <w:r w:rsidR="00DE0A57">
        <w:rPr>
          <w:lang w:val="en-GB"/>
        </w:rPr>
        <w:t>,</w:t>
      </w:r>
      <w:r w:rsidR="0077172B" w:rsidRPr="0077172B">
        <w:rPr>
          <w:lang w:val="en-GB"/>
        </w:rPr>
        <w:t xml:space="preserve"> defence</w:t>
      </w:r>
      <w:r w:rsidR="00DE0A57">
        <w:rPr>
          <w:lang w:val="en-GB"/>
        </w:rPr>
        <w:t>,</w:t>
      </w:r>
      <w:r w:rsidR="0077172B" w:rsidRPr="0077172B">
        <w:rPr>
          <w:lang w:val="en-GB"/>
        </w:rPr>
        <w:t xml:space="preserve"> and space</w:t>
      </w:r>
      <w:r w:rsidR="0077172B">
        <w:rPr>
          <w:lang w:val="en-GB"/>
        </w:rPr>
        <w:t>.</w:t>
      </w:r>
    </w:p>
    <w:p w:rsidR="0077172B" w:rsidRPr="0077172B" w:rsidRDefault="0077172B" w:rsidP="0077172B">
      <w:pPr>
        <w:rPr>
          <w:lang w:val="en-GB"/>
        </w:rPr>
      </w:pPr>
    </w:p>
    <w:p w:rsidR="0077172B" w:rsidRPr="003A3EFF" w:rsidRDefault="0077172B" w:rsidP="003A3EFF">
      <w:pPr>
        <w:rPr>
          <w:lang w:val="en-GB"/>
        </w:rPr>
      </w:pPr>
      <w:r w:rsidRPr="00FF0647">
        <w:rPr>
          <w:rFonts w:ascii="Wingdings 3" w:hAnsi="Wingdings 3"/>
          <w:b/>
          <w:bCs/>
          <w:color w:val="34B6E4"/>
          <w:lang w:val="en-GB"/>
        </w:rPr>
        <w:t>4</w:t>
      </w:r>
      <w:r w:rsidRPr="00FF0647">
        <w:rPr>
          <w:color w:val="34B6E4"/>
          <w:lang w:val="en-GB"/>
        </w:rPr>
        <w:t xml:space="preserve"> </w:t>
      </w:r>
      <w:r>
        <w:rPr>
          <w:color w:val="34B6E4"/>
          <w:lang w:val="en-GB"/>
        </w:rPr>
        <w:t xml:space="preserve"> </w:t>
      </w:r>
      <w:hyperlink r:id="rId50" w:history="1">
        <w:r w:rsidRPr="0077172B">
          <w:rPr>
            <w:rStyle w:val="Hyperlink"/>
            <w:lang w:val="en-GB"/>
          </w:rPr>
          <w:t>Transforming Australian manufacturing to rebuild our economy</w:t>
        </w:r>
      </w:hyperlink>
    </w:p>
    <w:p w:rsidR="002D5BF3" w:rsidRPr="008132DE" w:rsidRDefault="002D5BF3" w:rsidP="001A18D2">
      <w:pPr>
        <w:pStyle w:val="Heading2"/>
        <w:rPr>
          <w:lang w:val="en-GB"/>
        </w:rPr>
      </w:pPr>
      <w:bookmarkStart w:id="47" w:name="_Toc52955474"/>
      <w:r w:rsidRPr="008132DE">
        <w:rPr>
          <w:lang w:val="en-GB"/>
        </w:rPr>
        <w:t xml:space="preserve">$1.9bn </w:t>
      </w:r>
      <w:r w:rsidR="00A014B9" w:rsidRPr="008132DE">
        <w:rPr>
          <w:lang w:val="en-GB"/>
        </w:rPr>
        <w:t>for</w:t>
      </w:r>
      <w:r w:rsidRPr="008132DE">
        <w:rPr>
          <w:lang w:val="en-GB"/>
        </w:rPr>
        <w:t xml:space="preserve"> new energy </w:t>
      </w:r>
      <w:r w:rsidRPr="001A18D2">
        <w:t>technology</w:t>
      </w:r>
      <w:bookmarkEnd w:id="47"/>
    </w:p>
    <w:p w:rsidR="002D5BF3" w:rsidRDefault="002D5BF3" w:rsidP="002D5BF3">
      <w:pPr>
        <w:rPr>
          <w:lang w:val="en-GB"/>
        </w:rPr>
      </w:pPr>
      <w:r>
        <w:rPr>
          <w:lang w:val="en-GB"/>
        </w:rPr>
        <w:t xml:space="preserve">As previously announced, the Government has committed $1.9 billion over 12 years </w:t>
      </w:r>
      <w:r w:rsidR="00FB71F1">
        <w:rPr>
          <w:lang w:val="en-GB"/>
        </w:rPr>
        <w:t>from 2020-21</w:t>
      </w:r>
      <w:r w:rsidRPr="002D5BF3">
        <w:rPr>
          <w:lang w:val="en-GB"/>
        </w:rPr>
        <w:t xml:space="preserve"> to continue funding the Australian Renewable</w:t>
      </w:r>
      <w:r>
        <w:rPr>
          <w:lang w:val="en-GB"/>
        </w:rPr>
        <w:t xml:space="preserve"> </w:t>
      </w:r>
      <w:r w:rsidRPr="002D5BF3">
        <w:rPr>
          <w:lang w:val="en-GB"/>
        </w:rPr>
        <w:t>Energy Agency (ARENA), expand the investment mandate of the Clean Energy Finance</w:t>
      </w:r>
      <w:r>
        <w:rPr>
          <w:lang w:val="en-GB"/>
        </w:rPr>
        <w:t xml:space="preserve"> </w:t>
      </w:r>
      <w:r w:rsidRPr="002D5BF3">
        <w:rPr>
          <w:lang w:val="en-GB"/>
        </w:rPr>
        <w:t>Corporation (CEFC), and invest in low emissions technologies, network infrastructure,</w:t>
      </w:r>
      <w:r>
        <w:rPr>
          <w:lang w:val="en-GB"/>
        </w:rPr>
        <w:t xml:space="preserve"> </w:t>
      </w:r>
      <w:r w:rsidRPr="002D5BF3">
        <w:rPr>
          <w:lang w:val="en-GB"/>
        </w:rPr>
        <w:t>dispatchable generation and reliable supplies in the National Electricity Market (NEM).</w:t>
      </w:r>
      <w:r>
        <w:rPr>
          <w:lang w:val="en-GB"/>
        </w:rPr>
        <w:t xml:space="preserve"> Initiatives include investment in:</w:t>
      </w:r>
    </w:p>
    <w:p w:rsidR="002D5BF3" w:rsidRDefault="002D5BF3" w:rsidP="002D5BF3">
      <w:pPr>
        <w:pStyle w:val="ListParagraph"/>
      </w:pPr>
      <w:r w:rsidRPr="002D5BF3">
        <w:t>emerging low emission technologies to increase their commercial</w:t>
      </w:r>
      <w:r>
        <w:t xml:space="preserve"> </w:t>
      </w:r>
      <w:r w:rsidRPr="002D5BF3">
        <w:t>readiness</w:t>
      </w:r>
    </w:p>
    <w:p w:rsidR="00FB71F1" w:rsidRDefault="002D5BF3" w:rsidP="00FB71F1">
      <w:pPr>
        <w:pStyle w:val="ListParagraph"/>
      </w:pPr>
      <w:r>
        <w:t>a co-investment fund that supports industrial, freight and agricultural businesses to identify and adopt technologies to reduce emissions and increase productivity</w:t>
      </w:r>
    </w:p>
    <w:p w:rsidR="002D5BF3" w:rsidRDefault="00FB71F1" w:rsidP="00FB71F1">
      <w:pPr>
        <w:pStyle w:val="ListParagraph"/>
      </w:pPr>
      <w:r>
        <w:t xml:space="preserve">a </w:t>
      </w:r>
      <w:r w:rsidR="002D5BF3">
        <w:t>Future Fuels Fund, which would enable businesses to integrate new vehicle technologies, perform integration analysis and develop improved information on electric vehicles and charging infrastructure</w:t>
      </w:r>
    </w:p>
    <w:p w:rsidR="002D5BF3" w:rsidRDefault="00FB71F1" w:rsidP="002D5BF3">
      <w:pPr>
        <w:pStyle w:val="ListParagraph"/>
      </w:pPr>
      <w:r>
        <w:t>p</w:t>
      </w:r>
      <w:r w:rsidR="002D5BF3" w:rsidRPr="002D5BF3">
        <w:t>ilot studies for microgrids in regional and remote areas</w:t>
      </w:r>
    </w:p>
    <w:p w:rsidR="0080557B" w:rsidRDefault="00FB71F1" w:rsidP="0080557B">
      <w:pPr>
        <w:pStyle w:val="ListParagraph"/>
      </w:pPr>
      <w:r>
        <w:t>i</w:t>
      </w:r>
      <w:r w:rsidR="0080557B">
        <w:t>mprov</w:t>
      </w:r>
      <w:r>
        <w:t>ing</w:t>
      </w:r>
      <w:r w:rsidR="0080557B">
        <w:t xml:space="preserve"> productivity and lower energy costs in the building and hotels sectors</w:t>
      </w:r>
    </w:p>
    <w:p w:rsidR="0080557B" w:rsidRDefault="0080557B" w:rsidP="0080557B">
      <w:pPr>
        <w:pStyle w:val="ListParagraph"/>
      </w:pPr>
      <w:r>
        <w:t>the development of a technology neutral regional hydrogen export hub to boost regional economies</w:t>
      </w:r>
    </w:p>
    <w:p w:rsidR="0080557B" w:rsidRDefault="0080557B" w:rsidP="0080557B"/>
    <w:p w:rsidR="0080557B" w:rsidRPr="0080557B" w:rsidRDefault="0080557B" w:rsidP="0080557B">
      <w:pPr>
        <w:rPr>
          <w:rFonts w:ascii="Times New Roman" w:hAnsi="Times New Roman" w:cs="Times New Roman"/>
          <w:sz w:val="24"/>
          <w:szCs w:val="24"/>
          <w:lang w:eastAsia="en-GB"/>
        </w:rPr>
      </w:pPr>
      <w:r w:rsidRPr="00FF0647">
        <w:rPr>
          <w:rFonts w:ascii="Wingdings 3" w:hAnsi="Wingdings 3"/>
          <w:b/>
          <w:bCs/>
          <w:color w:val="34B6E4"/>
          <w:lang w:val="en-GB"/>
        </w:rPr>
        <w:t>4</w:t>
      </w:r>
      <w:r w:rsidRPr="00FF0647">
        <w:rPr>
          <w:color w:val="34B6E4"/>
          <w:lang w:val="en-GB"/>
        </w:rPr>
        <w:t xml:space="preserve"> </w:t>
      </w:r>
      <w:r>
        <w:rPr>
          <w:color w:val="34B6E4"/>
          <w:lang w:val="en-GB"/>
        </w:rPr>
        <w:t xml:space="preserve"> </w:t>
      </w:r>
      <w:hyperlink r:id="rId51" w:history="1">
        <w:r w:rsidRPr="0080557B">
          <w:rPr>
            <w:rStyle w:val="Hyperlink"/>
          </w:rPr>
          <w:t>Investment</w:t>
        </w:r>
        <w:r w:rsidRPr="0080557B">
          <w:rPr>
            <w:rStyle w:val="Hyperlink"/>
            <w:shd w:val="clear" w:color="auto" w:fill="FFFFFF"/>
            <w:lang w:eastAsia="en-GB"/>
          </w:rPr>
          <w:t xml:space="preserve"> in new energy technologies</w:t>
        </w:r>
      </w:hyperlink>
    </w:p>
    <w:p w:rsidR="004B6A97" w:rsidRPr="008132DE" w:rsidRDefault="004B6A97" w:rsidP="001A18D2">
      <w:pPr>
        <w:pStyle w:val="Heading2"/>
        <w:rPr>
          <w:lang w:val="en-GB"/>
        </w:rPr>
      </w:pPr>
      <w:bookmarkStart w:id="48" w:name="_Toc52955475"/>
      <w:r w:rsidRPr="008132DE">
        <w:rPr>
          <w:lang w:val="en-GB"/>
        </w:rPr>
        <w:lastRenderedPageBreak/>
        <w:t>Strengthening the Defence industry</w:t>
      </w:r>
      <w:bookmarkEnd w:id="48"/>
    </w:p>
    <w:tbl>
      <w:tblPr>
        <w:tblStyle w:val="TableContemporary"/>
        <w:tblW w:w="0" w:type="auto"/>
        <w:tblLook w:val="0400" w:firstRow="0" w:lastRow="0" w:firstColumn="0" w:lastColumn="0" w:noHBand="0" w:noVBand="1"/>
      </w:tblPr>
      <w:tblGrid>
        <w:gridCol w:w="2830"/>
        <w:gridCol w:w="6232"/>
      </w:tblGrid>
      <w:tr w:rsidR="004B6A97" w:rsidRPr="00FF0647" w:rsidTr="00C27345">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4B6A97" w:rsidRPr="00FF0647" w:rsidRDefault="004B6A97" w:rsidP="00C27345">
            <w:pPr>
              <w:rPr>
                <w:b/>
                <w:bCs/>
                <w:sz w:val="20"/>
                <w:lang w:val="en-GB"/>
              </w:rPr>
            </w:pPr>
            <w:r w:rsidRPr="00FF0647">
              <w:rPr>
                <w:b/>
                <w:bCs/>
                <w:sz w:val="20"/>
                <w:lang w:val="en-GB"/>
              </w:rPr>
              <w:t>Date of effect</w:t>
            </w:r>
          </w:p>
        </w:tc>
        <w:tc>
          <w:tcPr>
            <w:tcW w:w="6232" w:type="dxa"/>
            <w:shd w:val="clear" w:color="auto" w:fill="FFFFFF" w:themeFill="background1"/>
            <w:vAlign w:val="center"/>
          </w:tcPr>
          <w:p w:rsidR="004B6A97" w:rsidRPr="00FF0647" w:rsidRDefault="004B6A97" w:rsidP="00C27345">
            <w:pPr>
              <w:rPr>
                <w:sz w:val="20"/>
                <w:lang w:val="en-GB"/>
              </w:rPr>
            </w:pPr>
            <w:r>
              <w:rPr>
                <w:sz w:val="20"/>
                <w:lang w:val="en-GB"/>
              </w:rPr>
              <w:t>From 2020-21</w:t>
            </w:r>
          </w:p>
        </w:tc>
      </w:tr>
    </w:tbl>
    <w:p w:rsidR="004B6A97" w:rsidRPr="004B6A97" w:rsidRDefault="004B6A97" w:rsidP="004B6A97">
      <w:pPr>
        <w:rPr>
          <w:lang w:val="en-GB"/>
        </w:rPr>
      </w:pPr>
    </w:p>
    <w:p w:rsidR="004B6A97" w:rsidRPr="004B6A97" w:rsidRDefault="004B6A97" w:rsidP="004B6A97">
      <w:pPr>
        <w:rPr>
          <w:lang w:val="en-GB"/>
        </w:rPr>
      </w:pPr>
      <w:r>
        <w:rPr>
          <w:lang w:val="en-GB"/>
        </w:rPr>
        <w:t xml:space="preserve">$1 billion over two years </w:t>
      </w:r>
      <w:r w:rsidR="00FB71F1">
        <w:rPr>
          <w:lang w:val="en-GB"/>
        </w:rPr>
        <w:t xml:space="preserve">from 2020-21 </w:t>
      </w:r>
      <w:r>
        <w:rPr>
          <w:lang w:val="en-GB"/>
        </w:rPr>
        <w:t xml:space="preserve">will be provided to strengthen Australia’s defence industry. Key initiatives include </w:t>
      </w:r>
      <w:r w:rsidRPr="004B6A97">
        <w:rPr>
          <w:lang w:val="en-GB"/>
        </w:rPr>
        <w:t>increasing the employment of Australian Defence Force (ADF) Reservists who have</w:t>
      </w:r>
    </w:p>
    <w:p w:rsidR="004B6A97" w:rsidRDefault="004B6A97" w:rsidP="004B6A97">
      <w:pPr>
        <w:rPr>
          <w:lang w:val="en-GB"/>
        </w:rPr>
      </w:pPr>
      <w:r w:rsidRPr="004B6A97">
        <w:rPr>
          <w:lang w:val="en-GB"/>
        </w:rPr>
        <w:t>lost their civilian income</w:t>
      </w:r>
      <w:r>
        <w:rPr>
          <w:lang w:val="en-GB"/>
        </w:rPr>
        <w:t xml:space="preserve">, and </w:t>
      </w:r>
      <w:r w:rsidRPr="004B6A97">
        <w:rPr>
          <w:lang w:val="en-GB"/>
        </w:rPr>
        <w:t>increasing funding available for Defence innovation, industry and skilling grants</w:t>
      </w:r>
      <w:r w:rsidR="00323FDF">
        <w:rPr>
          <w:lang w:val="en-GB"/>
        </w:rPr>
        <w:t>.</w:t>
      </w:r>
    </w:p>
    <w:p w:rsidR="00323FDF" w:rsidRDefault="00323FDF" w:rsidP="004B6A97">
      <w:pPr>
        <w:rPr>
          <w:lang w:val="en-GB"/>
        </w:rPr>
      </w:pPr>
    </w:p>
    <w:p w:rsidR="00323FDF" w:rsidRDefault="00323FDF" w:rsidP="004B6A97">
      <w:pPr>
        <w:rPr>
          <w:lang w:val="en-GB"/>
        </w:rPr>
      </w:pPr>
      <w:r w:rsidRPr="00FF0647">
        <w:rPr>
          <w:rFonts w:ascii="Wingdings 3" w:hAnsi="Wingdings 3"/>
          <w:b/>
          <w:bCs/>
          <w:color w:val="34B6E4"/>
          <w:lang w:val="en-GB"/>
        </w:rPr>
        <w:t>4</w:t>
      </w:r>
      <w:r w:rsidRPr="00FF0647">
        <w:rPr>
          <w:color w:val="34B6E4"/>
          <w:lang w:val="en-GB"/>
        </w:rPr>
        <w:t xml:space="preserve"> </w:t>
      </w:r>
      <w:r w:rsidRPr="00FF0647">
        <w:rPr>
          <w:b/>
          <w:bCs/>
          <w:lang w:val="en-GB"/>
        </w:rPr>
        <w:t xml:space="preserve"> </w:t>
      </w:r>
      <w:hyperlink r:id="rId52" w:history="1">
        <w:r w:rsidRPr="00323FDF">
          <w:rPr>
            <w:rStyle w:val="Hyperlink"/>
            <w:lang w:val="en-GB"/>
          </w:rPr>
          <w:t>$1B To Accelerate Defence Initiatives In Covid-19 Recovery</w:t>
        </w:r>
      </w:hyperlink>
    </w:p>
    <w:p w:rsidR="00323FDF" w:rsidRDefault="00323FDF" w:rsidP="00323FDF">
      <w:pPr>
        <w:pStyle w:val="Heading3"/>
        <w:rPr>
          <w:lang w:val="en-GB"/>
        </w:rPr>
      </w:pPr>
      <w:bookmarkStart w:id="49" w:name="_Toc52955476"/>
      <w:r>
        <w:rPr>
          <w:lang w:val="en-GB"/>
        </w:rPr>
        <w:t>Enhancing regional programs</w:t>
      </w:r>
      <w:bookmarkEnd w:id="49"/>
    </w:p>
    <w:p w:rsidR="009B1C67" w:rsidRDefault="00323FDF" w:rsidP="00323FDF">
      <w:pPr>
        <w:rPr>
          <w:lang w:val="en-GB"/>
        </w:rPr>
      </w:pPr>
      <w:r>
        <w:rPr>
          <w:lang w:val="en-GB"/>
        </w:rPr>
        <w:t xml:space="preserve">$124.3 million has been provided over 10 years </w:t>
      </w:r>
      <w:r w:rsidR="008132DE">
        <w:rPr>
          <w:lang w:val="en-GB"/>
        </w:rPr>
        <w:t xml:space="preserve">from 2020-21 </w:t>
      </w:r>
      <w:r w:rsidRPr="00323FDF">
        <w:rPr>
          <w:lang w:val="en-GB"/>
        </w:rPr>
        <w:t>for further</w:t>
      </w:r>
      <w:r>
        <w:rPr>
          <w:lang w:val="en-GB"/>
        </w:rPr>
        <w:t xml:space="preserve"> </w:t>
      </w:r>
      <w:r w:rsidRPr="00323FDF">
        <w:rPr>
          <w:lang w:val="en-GB"/>
        </w:rPr>
        <w:t>infrastructure projects in the Southwest Pacific, including to construct a border and</w:t>
      </w:r>
      <w:r>
        <w:rPr>
          <w:lang w:val="en-GB"/>
        </w:rPr>
        <w:t xml:space="preserve"> </w:t>
      </w:r>
      <w:r w:rsidRPr="00323FDF">
        <w:rPr>
          <w:lang w:val="en-GB"/>
        </w:rPr>
        <w:t>patrol boat outpost in Solomon Islands’ western provinces.</w:t>
      </w:r>
      <w:r w:rsidR="009B1C67">
        <w:rPr>
          <w:lang w:val="en-GB"/>
        </w:rPr>
        <w:t xml:space="preserve"> The program is provisioned within the Defence budget.</w:t>
      </w:r>
    </w:p>
    <w:p w:rsidR="00070DA3" w:rsidRPr="00EF124D" w:rsidRDefault="00070DA3" w:rsidP="00071C5E">
      <w:pPr>
        <w:pStyle w:val="Heading2"/>
        <w:rPr>
          <w:lang w:val="en-GB"/>
        </w:rPr>
      </w:pPr>
      <w:bookmarkStart w:id="50" w:name="_Toc52955477"/>
      <w:r w:rsidRPr="00EF124D">
        <w:rPr>
          <w:lang w:val="en-GB"/>
        </w:rPr>
        <w:t xml:space="preserve">Women’s economic </w:t>
      </w:r>
      <w:r w:rsidRPr="00071C5E">
        <w:t>security</w:t>
      </w:r>
      <w:bookmarkEnd w:id="50"/>
    </w:p>
    <w:tbl>
      <w:tblPr>
        <w:tblStyle w:val="TableContemporary"/>
        <w:tblW w:w="0" w:type="auto"/>
        <w:tblLook w:val="0400" w:firstRow="0" w:lastRow="0" w:firstColumn="0" w:lastColumn="0" w:noHBand="0" w:noVBand="1"/>
      </w:tblPr>
      <w:tblGrid>
        <w:gridCol w:w="2830"/>
        <w:gridCol w:w="6232"/>
      </w:tblGrid>
      <w:tr w:rsidR="00070DA3" w:rsidRPr="00FF0647" w:rsidTr="00032E1B">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070DA3" w:rsidRPr="00FF0647" w:rsidRDefault="00070DA3" w:rsidP="00032E1B">
            <w:pPr>
              <w:rPr>
                <w:b/>
                <w:bCs/>
                <w:sz w:val="20"/>
                <w:lang w:val="en-GB"/>
              </w:rPr>
            </w:pPr>
            <w:r w:rsidRPr="00FF0647">
              <w:rPr>
                <w:b/>
                <w:bCs/>
                <w:sz w:val="20"/>
                <w:lang w:val="en-GB"/>
              </w:rPr>
              <w:t>Date of effect</w:t>
            </w:r>
          </w:p>
        </w:tc>
        <w:tc>
          <w:tcPr>
            <w:tcW w:w="6232" w:type="dxa"/>
            <w:shd w:val="clear" w:color="auto" w:fill="FFFFFF" w:themeFill="background1"/>
            <w:vAlign w:val="center"/>
          </w:tcPr>
          <w:p w:rsidR="00070DA3" w:rsidRPr="00FF0647" w:rsidRDefault="00070DA3" w:rsidP="00032E1B">
            <w:pPr>
              <w:rPr>
                <w:sz w:val="20"/>
                <w:lang w:val="en-GB"/>
              </w:rPr>
            </w:pPr>
            <w:r>
              <w:rPr>
                <w:sz w:val="20"/>
                <w:lang w:val="en-GB"/>
              </w:rPr>
              <w:t>2020-21</w:t>
            </w:r>
          </w:p>
        </w:tc>
      </w:tr>
    </w:tbl>
    <w:p w:rsidR="00070DA3" w:rsidRPr="00070DA3" w:rsidRDefault="00070DA3" w:rsidP="00070DA3">
      <w:pPr>
        <w:rPr>
          <w:lang w:val="en-GB"/>
        </w:rPr>
      </w:pPr>
    </w:p>
    <w:p w:rsidR="00070DA3" w:rsidRDefault="00070DA3" w:rsidP="00070DA3">
      <w:pPr>
        <w:rPr>
          <w:lang w:val="en-GB"/>
        </w:rPr>
      </w:pPr>
      <w:r>
        <w:rPr>
          <w:lang w:val="en-GB"/>
        </w:rPr>
        <w:t xml:space="preserve">$231 million over four years has been provided for the </w:t>
      </w:r>
      <w:r w:rsidRPr="00070DA3">
        <w:rPr>
          <w:lang w:val="en-GB"/>
        </w:rPr>
        <w:t>Second</w:t>
      </w:r>
      <w:r>
        <w:rPr>
          <w:lang w:val="en-GB"/>
        </w:rPr>
        <w:t xml:space="preserve"> </w:t>
      </w:r>
      <w:r w:rsidRPr="00070DA3">
        <w:rPr>
          <w:lang w:val="en-GB"/>
        </w:rPr>
        <w:t>Women’s Economic Security Package</w:t>
      </w:r>
      <w:r>
        <w:rPr>
          <w:lang w:val="en-GB"/>
        </w:rPr>
        <w:t>, including:</w:t>
      </w:r>
    </w:p>
    <w:p w:rsidR="00070DA3" w:rsidRDefault="00070DA3" w:rsidP="00070DA3">
      <w:pPr>
        <w:pStyle w:val="ListParagraph"/>
      </w:pPr>
      <w:r>
        <w:t xml:space="preserve">$90.3 million </w:t>
      </w:r>
      <w:r w:rsidR="00EF124D">
        <w:t xml:space="preserve">over three years </w:t>
      </w:r>
      <w:r>
        <w:t xml:space="preserve">to relax the </w:t>
      </w:r>
      <w:r w:rsidRPr="00070DA3">
        <w:t>Paid Parental Leave work test for births and adoptions that occur</w:t>
      </w:r>
      <w:r>
        <w:t xml:space="preserve"> </w:t>
      </w:r>
      <w:r w:rsidRPr="00070DA3">
        <w:t>between 22 March 2020 and 31 March 2021 to allow parents to qualify for the</w:t>
      </w:r>
      <w:r>
        <w:t xml:space="preserve"> </w:t>
      </w:r>
      <w:r w:rsidRPr="00070DA3">
        <w:t>payment if they have worked in 10 of the last 20 months, instead of 10 of the last</w:t>
      </w:r>
      <w:r>
        <w:t xml:space="preserve"> </w:t>
      </w:r>
      <w:r w:rsidRPr="00070DA3">
        <w:t>13 months, preceding the birth or adoption of a child</w:t>
      </w:r>
    </w:p>
    <w:p w:rsidR="00070DA3" w:rsidRDefault="00070DA3" w:rsidP="00070DA3">
      <w:pPr>
        <w:pStyle w:val="ListParagraph"/>
      </w:pPr>
      <w:r>
        <w:t>$47.9 million over four years to increase grants for the Women’s Leadership and Development Program, including funding for the Academy of Enterprising Girls and Women Building Australia</w:t>
      </w:r>
    </w:p>
    <w:p w:rsidR="00070DA3" w:rsidRDefault="00070DA3" w:rsidP="00070DA3">
      <w:pPr>
        <w:pStyle w:val="ListParagraph"/>
      </w:pPr>
      <w:r w:rsidRPr="00070DA3">
        <w:t>$35.9 million over five years</w:t>
      </w:r>
      <w:r>
        <w:t xml:space="preserve"> to increase the number of co-funded grants to women-founded start-ups under the Boosting Female Founders Initiative</w:t>
      </w:r>
    </w:p>
    <w:p w:rsidR="00070DA3" w:rsidRPr="00070DA3" w:rsidRDefault="00070DA3" w:rsidP="00070DA3">
      <w:pPr>
        <w:pStyle w:val="ListParagraph"/>
      </w:pPr>
      <w:r w:rsidRPr="00070DA3">
        <w:t>$25.1 million over five years</w:t>
      </w:r>
      <w:r>
        <w:t xml:space="preserve"> to establish a Women in Science, Technology, Engineering and Mathematics (STEM) Industry Cadetship program to support 500 women working in STEM industries to complete an Advanced Diploma through a combination of study and work-integrated learning experiences</w:t>
      </w:r>
    </w:p>
    <w:p w:rsidR="00344474" w:rsidRPr="00080CCE" w:rsidRDefault="00344474" w:rsidP="00071C5E">
      <w:pPr>
        <w:pStyle w:val="Heading2"/>
        <w:rPr>
          <w:lang w:val="en-GB"/>
        </w:rPr>
      </w:pPr>
      <w:bookmarkStart w:id="51" w:name="_Toc52955478"/>
      <w:r w:rsidRPr="00080CCE">
        <w:rPr>
          <w:lang w:val="en-GB"/>
        </w:rPr>
        <w:t xml:space="preserve">Streamlining </w:t>
      </w:r>
      <w:r w:rsidR="00CB193D" w:rsidRPr="00080CCE">
        <w:rPr>
          <w:lang w:val="en-GB"/>
        </w:rPr>
        <w:t xml:space="preserve">the </w:t>
      </w:r>
      <w:r w:rsidRPr="00071C5E">
        <w:t>agricultural</w:t>
      </w:r>
      <w:r w:rsidRPr="00080CCE">
        <w:rPr>
          <w:lang w:val="en-GB"/>
        </w:rPr>
        <w:t xml:space="preserve"> export</w:t>
      </w:r>
      <w:r w:rsidR="00CB193D" w:rsidRPr="00080CCE">
        <w:rPr>
          <w:lang w:val="en-GB"/>
        </w:rPr>
        <w:t xml:space="preserve"> process</w:t>
      </w:r>
      <w:bookmarkEnd w:id="51"/>
    </w:p>
    <w:tbl>
      <w:tblPr>
        <w:tblStyle w:val="TableContemporary"/>
        <w:tblW w:w="0" w:type="auto"/>
        <w:tblLook w:val="0400" w:firstRow="0" w:lastRow="0" w:firstColumn="0" w:lastColumn="0" w:noHBand="0" w:noVBand="1"/>
      </w:tblPr>
      <w:tblGrid>
        <w:gridCol w:w="2830"/>
        <w:gridCol w:w="6232"/>
      </w:tblGrid>
      <w:tr w:rsidR="00CB193D" w:rsidRPr="00FF0647" w:rsidTr="00032E1B">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CB193D" w:rsidRPr="00FF0647" w:rsidRDefault="00CB193D" w:rsidP="00032E1B">
            <w:pPr>
              <w:rPr>
                <w:b/>
                <w:bCs/>
                <w:sz w:val="20"/>
                <w:lang w:val="en-GB"/>
              </w:rPr>
            </w:pPr>
            <w:r w:rsidRPr="00FF0647">
              <w:rPr>
                <w:b/>
                <w:bCs/>
                <w:sz w:val="20"/>
                <w:lang w:val="en-GB"/>
              </w:rPr>
              <w:t>Date of effect</w:t>
            </w:r>
          </w:p>
        </w:tc>
        <w:tc>
          <w:tcPr>
            <w:tcW w:w="6232" w:type="dxa"/>
            <w:shd w:val="clear" w:color="auto" w:fill="FFFFFF" w:themeFill="background1"/>
            <w:vAlign w:val="center"/>
          </w:tcPr>
          <w:p w:rsidR="00CB193D" w:rsidRPr="00FF0647" w:rsidRDefault="00CB193D" w:rsidP="00032E1B">
            <w:pPr>
              <w:rPr>
                <w:sz w:val="20"/>
                <w:lang w:val="en-GB"/>
              </w:rPr>
            </w:pPr>
            <w:r>
              <w:rPr>
                <w:sz w:val="20"/>
                <w:lang w:val="en-GB"/>
              </w:rPr>
              <w:t>2020-21</w:t>
            </w:r>
          </w:p>
        </w:tc>
      </w:tr>
    </w:tbl>
    <w:p w:rsidR="00CB193D" w:rsidRPr="00CB193D" w:rsidRDefault="00CB193D" w:rsidP="00CB193D">
      <w:pPr>
        <w:rPr>
          <w:lang w:val="en-GB"/>
        </w:rPr>
      </w:pPr>
    </w:p>
    <w:p w:rsidR="00344474" w:rsidRDefault="00344474" w:rsidP="00344474">
      <w:pPr>
        <w:rPr>
          <w:lang w:val="en-GB"/>
        </w:rPr>
      </w:pPr>
      <w:r>
        <w:rPr>
          <w:lang w:val="en-GB"/>
        </w:rPr>
        <w:t xml:space="preserve">$328.4 million </w:t>
      </w:r>
      <w:r w:rsidR="00CB193D">
        <w:rPr>
          <w:lang w:val="en-GB"/>
        </w:rPr>
        <w:t xml:space="preserve">over four years </w:t>
      </w:r>
      <w:r>
        <w:rPr>
          <w:lang w:val="en-GB"/>
        </w:rPr>
        <w:t xml:space="preserve">has been committed to streamline </w:t>
      </w:r>
      <w:r w:rsidR="00CB193D">
        <w:rPr>
          <w:lang w:val="en-GB"/>
        </w:rPr>
        <w:t>the process of agricultural exports from 2020-21. The package includes:</w:t>
      </w:r>
    </w:p>
    <w:p w:rsidR="00071C5E" w:rsidRDefault="00071C5E" w:rsidP="00344474">
      <w:pPr>
        <w:rPr>
          <w:lang w:val="en-GB"/>
        </w:rPr>
      </w:pPr>
    </w:p>
    <w:p w:rsidR="00CB193D" w:rsidRDefault="00CB193D" w:rsidP="00CB193D">
      <w:pPr>
        <w:pStyle w:val="ListParagraph"/>
      </w:pPr>
      <w:r>
        <w:lastRenderedPageBreak/>
        <w:t>$22</w:t>
      </w:r>
      <w:r w:rsidR="00080CCE">
        <w:t>2</w:t>
      </w:r>
      <w:r>
        <w:t>.2 million</w:t>
      </w:r>
      <w:r w:rsidR="00080CCE">
        <w:t xml:space="preserve"> over four years</w:t>
      </w:r>
      <w:r>
        <w:t xml:space="preserve"> (and $22.3 million ongoing) to modernise the ICT systems used to regulate agricultural </w:t>
      </w:r>
      <w:r w:rsidRPr="00CB193D">
        <w:t>export</w:t>
      </w:r>
      <w:r>
        <w:t xml:space="preserve"> </w:t>
      </w:r>
      <w:r w:rsidRPr="00CB193D">
        <w:t>assessment and certification services</w:t>
      </w:r>
    </w:p>
    <w:p w:rsidR="00CB193D" w:rsidRDefault="00CB193D" w:rsidP="00CB193D">
      <w:pPr>
        <w:pStyle w:val="ListParagraph"/>
      </w:pPr>
      <w:r>
        <w:t xml:space="preserve">$71.1 million over three years for the sustainability of </w:t>
      </w:r>
      <w:r w:rsidRPr="00CB193D">
        <w:t>export certification services</w:t>
      </w:r>
    </w:p>
    <w:p w:rsidR="00344474" w:rsidRDefault="00CB193D" w:rsidP="00344474">
      <w:pPr>
        <w:pStyle w:val="ListParagraph"/>
      </w:pPr>
      <w:r>
        <w:t>$35.2 million over four years for targeted interventions and regulatory reforms in the meat, live animal, seafood, plant and plant product export sectors</w:t>
      </w:r>
    </w:p>
    <w:p w:rsidR="00344474" w:rsidRPr="004C1F17" w:rsidRDefault="00344474" w:rsidP="00071C5E">
      <w:pPr>
        <w:pStyle w:val="Heading2"/>
        <w:rPr>
          <w:lang w:val="en-GB"/>
        </w:rPr>
      </w:pPr>
      <w:bookmarkStart w:id="52" w:name="_Toc52955479"/>
      <w:r w:rsidRPr="004C1F17">
        <w:rPr>
          <w:lang w:val="en-GB"/>
        </w:rPr>
        <w:t xml:space="preserve">Support for drought affected farmers </w:t>
      </w:r>
      <w:r w:rsidRPr="00071C5E">
        <w:t>and</w:t>
      </w:r>
      <w:r w:rsidRPr="004C1F17">
        <w:rPr>
          <w:lang w:val="en-GB"/>
        </w:rPr>
        <w:t xml:space="preserve"> communities</w:t>
      </w:r>
      <w:bookmarkEnd w:id="52"/>
    </w:p>
    <w:p w:rsidR="00344474" w:rsidRDefault="00344474" w:rsidP="00344474">
      <w:pPr>
        <w:rPr>
          <w:lang w:val="en-GB"/>
        </w:rPr>
      </w:pPr>
      <w:r>
        <w:rPr>
          <w:lang w:val="en-GB"/>
        </w:rPr>
        <w:t>Over $155 million will be invested in a package of measures including:</w:t>
      </w:r>
    </w:p>
    <w:p w:rsidR="00071C5E" w:rsidRDefault="00071C5E" w:rsidP="00344474">
      <w:pPr>
        <w:rPr>
          <w:lang w:val="en-GB"/>
        </w:rPr>
      </w:pPr>
    </w:p>
    <w:p w:rsidR="00344474" w:rsidRDefault="00344474" w:rsidP="00344474">
      <w:pPr>
        <w:pStyle w:val="ListParagraph"/>
      </w:pPr>
      <w:r>
        <w:t xml:space="preserve">$50 million in 2020-21 to extend the </w:t>
      </w:r>
      <w:r w:rsidRPr="00344474">
        <w:t>On-farm</w:t>
      </w:r>
      <w:r>
        <w:t xml:space="preserve"> </w:t>
      </w:r>
      <w:r w:rsidRPr="00344474">
        <w:t>Emergency Water Infrastructure Rebate Scheme</w:t>
      </w:r>
    </w:p>
    <w:p w:rsidR="00344474" w:rsidRDefault="00344474" w:rsidP="00344474">
      <w:pPr>
        <w:pStyle w:val="ListParagraph"/>
      </w:pPr>
      <w:r>
        <w:t>$19.6 million in 2021-22 to extend the drought function of the National Drought and North Queensland Flood Response and Recovery Agency for another year</w:t>
      </w:r>
    </w:p>
    <w:p w:rsidR="00344474" w:rsidRPr="00344474" w:rsidRDefault="00344474" w:rsidP="00344474">
      <w:pPr>
        <w:pStyle w:val="ListParagraph"/>
      </w:pPr>
      <w:r>
        <w:t>$86 million over four years from 2020-21 through the Future Drought Fund to establish eight Drought Resilience and Adoption Hubs that support networks of researchers, farmers, agricultural business and community groups to enhance drought resilience practice, tools and technology (part of the $100 million pa Future Drought Fund).</w:t>
      </w:r>
    </w:p>
    <w:p w:rsidR="00CA7342" w:rsidRPr="00FF0647" w:rsidRDefault="00CA7342" w:rsidP="00CA7342">
      <w:pPr>
        <w:pStyle w:val="Heading2"/>
        <w:rPr>
          <w:lang w:val="en-GB"/>
        </w:rPr>
      </w:pPr>
      <w:bookmarkStart w:id="53" w:name="_Toc52955480"/>
      <w:r w:rsidRPr="00FF0647">
        <w:rPr>
          <w:lang w:val="en-GB"/>
        </w:rPr>
        <w:t>Import duty waived on medical and hygiene products</w:t>
      </w:r>
      <w:bookmarkEnd w:id="53"/>
    </w:p>
    <w:p w:rsidR="00CA7342" w:rsidRPr="00FF0647" w:rsidRDefault="00CA7342" w:rsidP="00CA7342">
      <w:pPr>
        <w:rPr>
          <w:lang w:val="en-GB"/>
        </w:rPr>
      </w:pPr>
      <w:r w:rsidRPr="00FF0647">
        <w:rPr>
          <w:lang w:val="en-GB"/>
        </w:rPr>
        <w:t>The current free rate of customs duty on certain hygiene or medical products imported to treat, diagnose</w:t>
      </w:r>
    </w:p>
    <w:p w:rsidR="00CA7342" w:rsidRPr="00FF0647" w:rsidRDefault="00CA7342" w:rsidP="00CA7342">
      <w:pPr>
        <w:rPr>
          <w:lang w:val="en-GB"/>
        </w:rPr>
      </w:pPr>
      <w:r w:rsidRPr="00FF0647">
        <w:rPr>
          <w:lang w:val="en-GB"/>
        </w:rPr>
        <w:t>or prevent the spread of COVID-19, has been extended from 1 August 2020 to 31 December 2020.</w:t>
      </w:r>
    </w:p>
    <w:p w:rsidR="00CA7342" w:rsidRPr="008B1E6D" w:rsidRDefault="00CA7342" w:rsidP="00B4507D">
      <w:pPr>
        <w:pStyle w:val="Heading2"/>
        <w:rPr>
          <w:lang w:val="en-GB"/>
        </w:rPr>
      </w:pPr>
      <w:bookmarkStart w:id="54" w:name="_Toc52955481"/>
      <w:r w:rsidRPr="008B1E6D">
        <w:rPr>
          <w:lang w:val="en-GB"/>
        </w:rPr>
        <w:t>2020-21 migration</w:t>
      </w:r>
      <w:bookmarkEnd w:id="54"/>
      <w:r w:rsidRPr="008B1E6D">
        <w:rPr>
          <w:lang w:val="en-GB"/>
        </w:rPr>
        <w:t xml:space="preserve"> </w:t>
      </w:r>
    </w:p>
    <w:p w:rsidR="00CA7342" w:rsidRPr="00FF0647" w:rsidRDefault="00CA7342" w:rsidP="00CA7342">
      <w:pPr>
        <w:rPr>
          <w:lang w:val="en-GB"/>
        </w:rPr>
      </w:pPr>
      <w:r w:rsidRPr="00FF0647">
        <w:rPr>
          <w:lang w:val="en-GB"/>
        </w:rPr>
        <w:t xml:space="preserve">To date, migration has played an essential role in Australia’s economic growth. </w:t>
      </w:r>
    </w:p>
    <w:p w:rsidR="00CA7342" w:rsidRPr="00FF0647" w:rsidRDefault="00CA7342" w:rsidP="00CA7342">
      <w:pPr>
        <w:rPr>
          <w:lang w:val="en-GB"/>
        </w:rPr>
      </w:pPr>
    </w:p>
    <w:p w:rsidR="0033473A" w:rsidRPr="00FF0647" w:rsidRDefault="0033473A" w:rsidP="0033473A">
      <w:pPr>
        <w:rPr>
          <w:lang w:val="en-GB"/>
        </w:rPr>
      </w:pPr>
      <w:r w:rsidRPr="00FF0647">
        <w:rPr>
          <w:lang w:val="en-GB"/>
        </w:rPr>
        <w:t xml:space="preserve">Migration planning levels will remain at 160,000. Family Stream places will increase from 47,732 to 77,300 places on a one-off basis for the 2020-21 Migration Program year, and Employer Sponsored, Global Talent, Business Innovation and Investment Program visas will be prioritised within the Skilled Stream. Those applying on Partner visas will come under greater scrutiny with mandated character checks and the sharing of personal information as part of a mandatory sponsorship application, and </w:t>
      </w:r>
      <w:r>
        <w:rPr>
          <w:lang w:val="en-GB"/>
        </w:rPr>
        <w:t xml:space="preserve">sponsors will be </w:t>
      </w:r>
      <w:r w:rsidRPr="00FF0647">
        <w:rPr>
          <w:lang w:val="en-GB"/>
        </w:rPr>
        <w:t>subject</w:t>
      </w:r>
      <w:r>
        <w:rPr>
          <w:lang w:val="en-GB"/>
        </w:rPr>
        <w:t xml:space="preserve">ed </w:t>
      </w:r>
      <w:r w:rsidRPr="00FF0647">
        <w:rPr>
          <w:lang w:val="en-GB"/>
        </w:rPr>
        <w:t>to enforceable sponsorship obligations. English language requirements will also be introduced.</w:t>
      </w:r>
    </w:p>
    <w:p w:rsidR="00CA7342" w:rsidRPr="00FF0647" w:rsidRDefault="00CA7342" w:rsidP="00CA7342">
      <w:pPr>
        <w:pStyle w:val="Heading3"/>
        <w:rPr>
          <w:lang w:val="en-GB"/>
        </w:rPr>
      </w:pPr>
      <w:bookmarkStart w:id="55" w:name="_Toc52955482"/>
      <w:r w:rsidRPr="00FF0647">
        <w:rPr>
          <w:lang w:val="en-GB"/>
        </w:rPr>
        <w:t>Business innovation and investment</w:t>
      </w:r>
      <w:bookmarkEnd w:id="55"/>
    </w:p>
    <w:tbl>
      <w:tblPr>
        <w:tblStyle w:val="TableContemporary"/>
        <w:tblW w:w="0" w:type="auto"/>
        <w:tblLook w:val="0400" w:firstRow="0" w:lastRow="0" w:firstColumn="0" w:lastColumn="0" w:noHBand="0" w:noVBand="1"/>
      </w:tblPr>
      <w:tblGrid>
        <w:gridCol w:w="2830"/>
        <w:gridCol w:w="6232"/>
      </w:tblGrid>
      <w:tr w:rsidR="00CA7342" w:rsidRPr="00FF0647" w:rsidTr="00FF3FD2">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CA7342" w:rsidRPr="00FF0647" w:rsidRDefault="00CA7342" w:rsidP="00FF3FD2">
            <w:pPr>
              <w:rPr>
                <w:b/>
                <w:bCs/>
                <w:sz w:val="20"/>
                <w:lang w:val="en-GB"/>
              </w:rPr>
            </w:pPr>
            <w:r w:rsidRPr="00FF0647">
              <w:rPr>
                <w:b/>
                <w:bCs/>
                <w:sz w:val="20"/>
                <w:lang w:val="en-GB"/>
              </w:rPr>
              <w:t>Date of effect</w:t>
            </w:r>
          </w:p>
        </w:tc>
        <w:tc>
          <w:tcPr>
            <w:tcW w:w="6232" w:type="dxa"/>
            <w:shd w:val="clear" w:color="auto" w:fill="FFFFFF" w:themeFill="background1"/>
            <w:vAlign w:val="center"/>
          </w:tcPr>
          <w:p w:rsidR="00CA7342" w:rsidRPr="00FF0647" w:rsidRDefault="00CA7342" w:rsidP="00FF3FD2">
            <w:pPr>
              <w:rPr>
                <w:sz w:val="20"/>
                <w:lang w:val="en-GB"/>
              </w:rPr>
            </w:pPr>
            <w:r w:rsidRPr="00FF0647">
              <w:rPr>
                <w:sz w:val="20"/>
                <w:lang w:val="en-GB"/>
              </w:rPr>
              <w:t>1 July 2021</w:t>
            </w:r>
          </w:p>
        </w:tc>
      </w:tr>
    </w:tbl>
    <w:p w:rsidR="00CA7342" w:rsidRPr="00FF0647" w:rsidRDefault="00CA7342" w:rsidP="00CA7342">
      <w:pPr>
        <w:rPr>
          <w:lang w:val="en-GB"/>
        </w:rPr>
      </w:pPr>
    </w:p>
    <w:p w:rsidR="00BD3FB8" w:rsidRDefault="0033473A" w:rsidP="0033473A">
      <w:pPr>
        <w:rPr>
          <w:lang w:val="en-GB"/>
        </w:rPr>
      </w:pPr>
      <w:r w:rsidRPr="00FF0647">
        <w:rPr>
          <w:lang w:val="en-GB"/>
        </w:rPr>
        <w:t xml:space="preserve">The Government will require more from those seeking to migrate to Australia on the Business Innovation and Investment Program (BIIP). Visa application charges will rise by 11.3% </w:t>
      </w:r>
      <w:r>
        <w:t xml:space="preserve">(above regular CPI indexation) </w:t>
      </w:r>
      <w:r w:rsidRPr="00FF0647">
        <w:rPr>
          <w:lang w:val="en-GB"/>
        </w:rPr>
        <w:t>and the program will focus on “higher value investors, business owners and entrepreneurs.”</w:t>
      </w:r>
    </w:p>
    <w:p w:rsidR="0061006B" w:rsidRDefault="0061006B" w:rsidP="0061006B">
      <w:pPr>
        <w:pStyle w:val="Heading2"/>
        <w:rPr>
          <w:lang w:val="en-GB"/>
        </w:rPr>
      </w:pPr>
      <w:bookmarkStart w:id="56" w:name="_Toc52955483"/>
      <w:r>
        <w:rPr>
          <w:lang w:val="en-GB"/>
        </w:rPr>
        <w:lastRenderedPageBreak/>
        <w:t xml:space="preserve">Temporary visa holders working in </w:t>
      </w:r>
      <w:r w:rsidR="00207A75">
        <w:rPr>
          <w:lang w:val="en-GB"/>
        </w:rPr>
        <w:t>key sectors</w:t>
      </w:r>
      <w:bookmarkEnd w:id="56"/>
    </w:p>
    <w:p w:rsidR="00207A75" w:rsidRPr="00207A75" w:rsidRDefault="00207A75" w:rsidP="00207A75">
      <w:pPr>
        <w:pStyle w:val="Heading3"/>
        <w:rPr>
          <w:lang w:val="en-GB"/>
        </w:rPr>
      </w:pPr>
      <w:bookmarkStart w:id="57" w:name="_Toc52955484"/>
      <w:r>
        <w:rPr>
          <w:lang w:val="en-GB"/>
        </w:rPr>
        <w:t>Agriculture</w:t>
      </w:r>
      <w:bookmarkEnd w:id="57"/>
    </w:p>
    <w:p w:rsidR="0061006B" w:rsidRPr="0061006B" w:rsidRDefault="0061006B" w:rsidP="0061006B">
      <w:pPr>
        <w:rPr>
          <w:lang w:val="en-GB"/>
        </w:rPr>
      </w:pPr>
      <w:r w:rsidRPr="0061006B">
        <w:rPr>
          <w:lang w:val="en-GB"/>
        </w:rPr>
        <w:t>The Government has made temporary changes to allow temporary visa holders</w:t>
      </w:r>
      <w:r>
        <w:rPr>
          <w:lang w:val="en-GB"/>
        </w:rPr>
        <w:t xml:space="preserve"> </w:t>
      </w:r>
      <w:r w:rsidRPr="0061006B">
        <w:rPr>
          <w:lang w:val="en-GB"/>
        </w:rPr>
        <w:t>currently working in the agricultural sector to continue to work in Australia during</w:t>
      </w:r>
      <w:r>
        <w:rPr>
          <w:lang w:val="en-GB"/>
        </w:rPr>
        <w:t xml:space="preserve"> </w:t>
      </w:r>
      <w:r w:rsidRPr="0061006B">
        <w:rPr>
          <w:lang w:val="en-GB"/>
        </w:rPr>
        <w:t>COVID-19.</w:t>
      </w:r>
    </w:p>
    <w:p w:rsidR="0061006B" w:rsidRDefault="0061006B" w:rsidP="0061006B">
      <w:pPr>
        <w:rPr>
          <w:lang w:val="en-GB"/>
        </w:rPr>
      </w:pPr>
    </w:p>
    <w:p w:rsidR="00207A75" w:rsidRDefault="0061006B" w:rsidP="0061006B">
      <w:pPr>
        <w:rPr>
          <w:lang w:val="en-GB"/>
        </w:rPr>
      </w:pPr>
      <w:r w:rsidRPr="0061006B">
        <w:rPr>
          <w:lang w:val="en-GB"/>
        </w:rPr>
        <w:t>Working Holiday Maker (subclass 417 and 462) visa holders currently working in food</w:t>
      </w:r>
      <w:r>
        <w:rPr>
          <w:lang w:val="en-GB"/>
        </w:rPr>
        <w:t xml:space="preserve"> </w:t>
      </w:r>
      <w:r w:rsidRPr="0061006B">
        <w:rPr>
          <w:lang w:val="en-GB"/>
        </w:rPr>
        <w:t>processing or the agricultural sector will be eligible for a further visa and will be exempt</w:t>
      </w:r>
      <w:r>
        <w:rPr>
          <w:lang w:val="en-GB"/>
        </w:rPr>
        <w:t xml:space="preserve"> </w:t>
      </w:r>
      <w:r w:rsidRPr="0061006B">
        <w:rPr>
          <w:lang w:val="en-GB"/>
        </w:rPr>
        <w:t>from the six-month work limitation with one employer. Seasonal Worker Program and</w:t>
      </w:r>
      <w:r>
        <w:rPr>
          <w:lang w:val="en-GB"/>
        </w:rPr>
        <w:t xml:space="preserve"> </w:t>
      </w:r>
      <w:r w:rsidRPr="0061006B">
        <w:rPr>
          <w:lang w:val="en-GB"/>
        </w:rPr>
        <w:t>Pacific Labour Scheme workers, and other visa holders currently in the agricultural</w:t>
      </w:r>
      <w:r>
        <w:rPr>
          <w:lang w:val="en-GB"/>
        </w:rPr>
        <w:t xml:space="preserve"> </w:t>
      </w:r>
      <w:r w:rsidRPr="0061006B">
        <w:rPr>
          <w:lang w:val="en-GB"/>
        </w:rPr>
        <w:t>sector whose visas are expiring, may have their visas extended for up to 12 months to</w:t>
      </w:r>
      <w:r>
        <w:rPr>
          <w:lang w:val="en-GB"/>
        </w:rPr>
        <w:t xml:space="preserve"> </w:t>
      </w:r>
      <w:r w:rsidRPr="0061006B">
        <w:rPr>
          <w:lang w:val="en-GB"/>
        </w:rPr>
        <w:t>work for approved employers.</w:t>
      </w:r>
    </w:p>
    <w:p w:rsidR="00207A75" w:rsidRDefault="00207A75" w:rsidP="00207A75">
      <w:pPr>
        <w:pStyle w:val="Heading3"/>
        <w:rPr>
          <w:lang w:val="en-GB"/>
        </w:rPr>
      </w:pPr>
      <w:bookmarkStart w:id="58" w:name="_Toc52955485"/>
      <w:r>
        <w:rPr>
          <w:lang w:val="en-GB"/>
        </w:rPr>
        <w:t>Supermarkets, aged and disability care</w:t>
      </w:r>
      <w:bookmarkEnd w:id="58"/>
    </w:p>
    <w:p w:rsidR="00207A75" w:rsidRPr="00207A75" w:rsidRDefault="00207A75" w:rsidP="00207A75">
      <w:pPr>
        <w:rPr>
          <w:lang w:val="en-GB"/>
        </w:rPr>
      </w:pPr>
      <w:r w:rsidRPr="00207A75">
        <w:rPr>
          <w:lang w:val="en-GB"/>
        </w:rPr>
        <w:t>Student visa holders (subclass 500) will not be limited to the pre-COVID 40 hour</w:t>
      </w:r>
      <w:r>
        <w:rPr>
          <w:lang w:val="en-GB"/>
        </w:rPr>
        <w:t xml:space="preserve"> </w:t>
      </w:r>
      <w:r w:rsidRPr="00207A75">
        <w:rPr>
          <w:lang w:val="en-GB"/>
        </w:rPr>
        <w:t>per fortnight work limit in:</w:t>
      </w:r>
    </w:p>
    <w:p w:rsidR="00207A75" w:rsidRPr="00207A75" w:rsidRDefault="00207A75" w:rsidP="00207A75">
      <w:pPr>
        <w:pStyle w:val="ListParagraph"/>
      </w:pPr>
      <w:r w:rsidRPr="00207A75">
        <w:t>supermarkets (up to 30 April 2020)</w:t>
      </w:r>
    </w:p>
    <w:p w:rsidR="00207A75" w:rsidRPr="00207A75" w:rsidRDefault="00207A75" w:rsidP="00207A75">
      <w:pPr>
        <w:pStyle w:val="ListParagraph"/>
      </w:pPr>
      <w:r w:rsidRPr="00207A75">
        <w:t>aged care with an aged care Approved Provider or Commonwealth-funded aged</w:t>
      </w:r>
      <w:r>
        <w:t xml:space="preserve"> </w:t>
      </w:r>
      <w:r w:rsidRPr="00207A75">
        <w:t>care service provider</w:t>
      </w:r>
    </w:p>
    <w:p w:rsidR="00207A75" w:rsidRPr="00207A75" w:rsidRDefault="00207A75" w:rsidP="00207A75">
      <w:pPr>
        <w:pStyle w:val="ListParagraph"/>
      </w:pPr>
      <w:r w:rsidRPr="00207A75">
        <w:t>disability care with a registered National Disability Insurance Scheme provider.</w:t>
      </w:r>
    </w:p>
    <w:p w:rsidR="00207A75" w:rsidRDefault="00207A75" w:rsidP="00207A75">
      <w:pPr>
        <w:rPr>
          <w:lang w:val="en-GB"/>
        </w:rPr>
      </w:pPr>
    </w:p>
    <w:p w:rsidR="005D59F7" w:rsidRDefault="00207A75" w:rsidP="0061006B">
      <w:pPr>
        <w:rPr>
          <w:lang w:val="en-GB"/>
        </w:rPr>
      </w:pPr>
      <w:r w:rsidRPr="00207A75">
        <w:rPr>
          <w:lang w:val="en-GB"/>
        </w:rPr>
        <w:t>Student visa holders studying relevant medical courses are also exempt from the 40 hour</w:t>
      </w:r>
      <w:r>
        <w:rPr>
          <w:lang w:val="en-GB"/>
        </w:rPr>
        <w:t xml:space="preserve"> </w:t>
      </w:r>
      <w:r w:rsidRPr="00207A75">
        <w:rPr>
          <w:lang w:val="en-GB"/>
        </w:rPr>
        <w:t>per fortnight work limit if they are supporting COVID-19 health efforts at the direction</w:t>
      </w:r>
      <w:r>
        <w:rPr>
          <w:lang w:val="en-GB"/>
        </w:rPr>
        <w:t xml:space="preserve"> </w:t>
      </w:r>
      <w:r w:rsidRPr="00207A75">
        <w:rPr>
          <w:lang w:val="en-GB"/>
        </w:rPr>
        <w:t>of the relevant health authority.</w:t>
      </w:r>
    </w:p>
    <w:p w:rsidR="005D59F7" w:rsidRDefault="005D59F7" w:rsidP="005D59F7">
      <w:pPr>
        <w:pStyle w:val="Heading2"/>
        <w:rPr>
          <w:lang w:val="en-GB"/>
        </w:rPr>
      </w:pPr>
      <w:bookmarkStart w:id="59" w:name="_Toc52955486"/>
      <w:r>
        <w:rPr>
          <w:lang w:val="en-GB"/>
        </w:rPr>
        <w:t xml:space="preserve">Updated list of </w:t>
      </w:r>
      <w:r w:rsidRPr="005D59F7">
        <w:rPr>
          <w:lang w:val="en-GB"/>
        </w:rPr>
        <w:t>deductible gift recipients</w:t>
      </w:r>
      <w:bookmarkEnd w:id="59"/>
    </w:p>
    <w:p w:rsidR="005D59F7" w:rsidRDefault="005D59F7" w:rsidP="005D59F7">
      <w:pPr>
        <w:rPr>
          <w:lang w:val="en-GB"/>
        </w:rPr>
      </w:pPr>
      <w:r>
        <w:rPr>
          <w:lang w:val="en-GB"/>
        </w:rPr>
        <w:t>T</w:t>
      </w:r>
      <w:r w:rsidRPr="005D59F7">
        <w:rPr>
          <w:lang w:val="en-GB"/>
        </w:rPr>
        <w:t>he following organisations have been</w:t>
      </w:r>
      <w:r>
        <w:rPr>
          <w:lang w:val="en-GB"/>
        </w:rPr>
        <w:t xml:space="preserve"> </w:t>
      </w:r>
      <w:r w:rsidRPr="005D59F7">
        <w:rPr>
          <w:lang w:val="en-GB"/>
        </w:rPr>
        <w:t>approved as specifically listed deductible gift recipients (DGRs) for the following dates:</w:t>
      </w:r>
    </w:p>
    <w:p w:rsidR="00B4507D" w:rsidRDefault="00B4507D" w:rsidP="005D59F7">
      <w:pPr>
        <w:rPr>
          <w:lang w:val="en-GB"/>
        </w:rPr>
      </w:pPr>
    </w:p>
    <w:p w:rsidR="005D59F7" w:rsidRPr="005D59F7" w:rsidRDefault="005D59F7" w:rsidP="005D59F7">
      <w:pPr>
        <w:pStyle w:val="ListParagraph"/>
      </w:pPr>
      <w:r w:rsidRPr="005D59F7">
        <w:t>Royal Agricultural Society Foundation Limited from 1 July 2020</w:t>
      </w:r>
    </w:p>
    <w:p w:rsidR="005D59F7" w:rsidRPr="005D59F7" w:rsidRDefault="005D59F7" w:rsidP="005D59F7">
      <w:pPr>
        <w:pStyle w:val="ListParagraph"/>
      </w:pPr>
      <w:r w:rsidRPr="005D59F7">
        <w:t>Judith Neilson Institute for Journalism and Ideas from 1 July 2020</w:t>
      </w:r>
    </w:p>
    <w:p w:rsidR="005D59F7" w:rsidRPr="005D59F7" w:rsidRDefault="005D59F7" w:rsidP="005D59F7">
      <w:pPr>
        <w:pStyle w:val="ListParagraph"/>
      </w:pPr>
      <w:r w:rsidRPr="005D59F7">
        <w:t>The Andy Thomas Space Foundation from 1 July 2020</w:t>
      </w:r>
      <w:r>
        <w:t xml:space="preserve"> </w:t>
      </w:r>
    </w:p>
    <w:p w:rsidR="005D59F7" w:rsidRPr="005D59F7" w:rsidRDefault="005D59F7" w:rsidP="005D59F7">
      <w:pPr>
        <w:pStyle w:val="ListParagraph"/>
      </w:pPr>
      <w:r w:rsidRPr="005D59F7">
        <w:t>The Royal Humane Society of New South Wales from 1 July 2020</w:t>
      </w:r>
    </w:p>
    <w:p w:rsidR="005D59F7" w:rsidRPr="005D59F7" w:rsidRDefault="005D59F7" w:rsidP="005D59F7">
      <w:pPr>
        <w:pStyle w:val="ListParagraph"/>
      </w:pPr>
      <w:r w:rsidRPr="005D59F7">
        <w:t>Youthsafe from 1 July 2020</w:t>
      </w:r>
    </w:p>
    <w:p w:rsidR="005D59F7" w:rsidRPr="005D59F7" w:rsidRDefault="005D59F7" w:rsidP="005D59F7">
      <w:pPr>
        <w:pStyle w:val="ListParagraph"/>
      </w:pPr>
      <w:r w:rsidRPr="005D59F7">
        <w:t>Alliance for Journalists’ Freedom from 1 July 2020</w:t>
      </w:r>
    </w:p>
    <w:p w:rsidR="005D59F7" w:rsidRDefault="005D59F7" w:rsidP="005D59F7">
      <w:pPr>
        <w:pStyle w:val="ListParagraph"/>
      </w:pPr>
      <w:r w:rsidRPr="005D59F7">
        <w:t>The Great Synagogue Foundation Trust Fund from 1 July 2020 to 30 June 2025.</w:t>
      </w:r>
    </w:p>
    <w:p w:rsidR="005D59F7" w:rsidRDefault="005D59F7" w:rsidP="005D59F7"/>
    <w:p w:rsidR="005D59F7" w:rsidRDefault="005D59F7" w:rsidP="005D59F7">
      <w:r>
        <w:t>The following organisations have received approval for an extension of their DGR status for the following dates:</w:t>
      </w:r>
    </w:p>
    <w:p w:rsidR="005D59F7" w:rsidRDefault="005D59F7" w:rsidP="005D59F7">
      <w:pPr>
        <w:pStyle w:val="ListParagraph"/>
      </w:pPr>
      <w:r>
        <w:t>Sydney Chevra Kadisha from 1 January 2021 to 30 June 2022, to extend this organisation’s DGR status by 18 months</w:t>
      </w:r>
    </w:p>
    <w:p w:rsidR="005D59F7" w:rsidRPr="0047544B" w:rsidRDefault="005D59F7" w:rsidP="005D59F7">
      <w:pPr>
        <w:pStyle w:val="ListParagraph"/>
      </w:pPr>
      <w:r>
        <w:t>Centre for Entrepreneurial Research and Innovation Limited will retain DGR status from 31 December 2021 onwards.</w:t>
      </w:r>
    </w:p>
    <w:p w:rsidR="0061006B" w:rsidRDefault="0061006B" w:rsidP="0061006B">
      <w:pPr>
        <w:rPr>
          <w:lang w:val="en-GB"/>
        </w:rPr>
      </w:pPr>
    </w:p>
    <w:p w:rsidR="00684228" w:rsidRPr="00684228" w:rsidRDefault="00684228" w:rsidP="00684228">
      <w:pPr>
        <w:pStyle w:val="Heading2"/>
        <w:rPr>
          <w:lang w:val="en-GB"/>
        </w:rPr>
      </w:pPr>
      <w:bookmarkStart w:id="60" w:name="_Toc52955487"/>
      <w:r w:rsidRPr="00684228">
        <w:rPr>
          <w:lang w:val="en-GB"/>
        </w:rPr>
        <w:lastRenderedPageBreak/>
        <w:t>Clarification of income tax exemption of workers with international organisations</w:t>
      </w:r>
      <w:bookmarkEnd w:id="60"/>
    </w:p>
    <w:tbl>
      <w:tblPr>
        <w:tblStyle w:val="TableContemporary"/>
        <w:tblW w:w="0" w:type="auto"/>
        <w:tblLook w:val="0400" w:firstRow="0" w:lastRow="0" w:firstColumn="0" w:lastColumn="0" w:noHBand="0" w:noVBand="1"/>
      </w:tblPr>
      <w:tblGrid>
        <w:gridCol w:w="2830"/>
        <w:gridCol w:w="6232"/>
      </w:tblGrid>
      <w:tr w:rsidR="00684228" w:rsidRPr="00684228" w:rsidTr="00B742E3">
        <w:trPr>
          <w:cnfStyle w:val="000000100000" w:firstRow="0" w:lastRow="0" w:firstColumn="0" w:lastColumn="0" w:oddVBand="0" w:evenVBand="0" w:oddHBand="1" w:evenHBand="0" w:firstRowFirstColumn="0" w:firstRowLastColumn="0" w:lastRowFirstColumn="0" w:lastRowLastColumn="0"/>
          <w:trHeight w:val="340"/>
        </w:trPr>
        <w:tc>
          <w:tcPr>
            <w:tcW w:w="2830" w:type="dxa"/>
            <w:shd w:val="clear" w:color="auto" w:fill="E7F6FD"/>
            <w:vAlign w:val="center"/>
          </w:tcPr>
          <w:p w:rsidR="00684228" w:rsidRPr="00684228" w:rsidRDefault="00684228" w:rsidP="00B742E3">
            <w:pPr>
              <w:rPr>
                <w:b/>
                <w:bCs/>
                <w:sz w:val="20"/>
                <w:lang w:val="en-GB"/>
              </w:rPr>
            </w:pPr>
            <w:r w:rsidRPr="00684228">
              <w:rPr>
                <w:b/>
                <w:bCs/>
                <w:sz w:val="20"/>
                <w:lang w:val="en-GB"/>
              </w:rPr>
              <w:t>Date of effect</w:t>
            </w:r>
          </w:p>
        </w:tc>
        <w:tc>
          <w:tcPr>
            <w:tcW w:w="6232" w:type="dxa"/>
            <w:shd w:val="clear" w:color="auto" w:fill="FFFFFF" w:themeFill="background1"/>
            <w:vAlign w:val="center"/>
          </w:tcPr>
          <w:p w:rsidR="00684228" w:rsidRPr="00684228" w:rsidRDefault="00684228" w:rsidP="00B742E3">
            <w:pPr>
              <w:rPr>
                <w:sz w:val="20"/>
                <w:lang w:val="en-GB"/>
              </w:rPr>
            </w:pPr>
            <w:r w:rsidRPr="00684228">
              <w:rPr>
                <w:sz w:val="20"/>
                <w:lang w:val="en-GB"/>
              </w:rPr>
              <w:t>1 July 2017</w:t>
            </w:r>
          </w:p>
        </w:tc>
      </w:tr>
    </w:tbl>
    <w:p w:rsidR="00684228" w:rsidRPr="00684228" w:rsidRDefault="00684228" w:rsidP="00684228"/>
    <w:p w:rsidR="00684228" w:rsidRPr="00684228" w:rsidRDefault="00684228" w:rsidP="00684228">
      <w:r w:rsidRPr="00684228">
        <w:t xml:space="preserve">This measure will clarify that Australian short-term experts are entitled to an exemption from income tax for their relevant income from the International Monetary Fund (IMF) and three institutions of the World Bank Group (WBG). </w:t>
      </w:r>
    </w:p>
    <w:p w:rsidR="00684228" w:rsidRPr="0061006B" w:rsidRDefault="00684228" w:rsidP="0061006B">
      <w:pPr>
        <w:rPr>
          <w:lang w:val="en-GB"/>
        </w:rPr>
      </w:pPr>
    </w:p>
    <w:p w:rsidR="00CA7342" w:rsidRPr="00FF0647" w:rsidRDefault="00CA7342" w:rsidP="00AF053E">
      <w:pPr>
        <w:rPr>
          <w:lang w:val="en-GB"/>
        </w:rPr>
      </w:pPr>
    </w:p>
    <w:p w:rsidR="00BD74D5" w:rsidRPr="00FF0647" w:rsidRDefault="00BD74D5" w:rsidP="00B4507D">
      <w:pPr>
        <w:pStyle w:val="Heading1"/>
        <w:rPr>
          <w:lang w:val="en-GB"/>
        </w:rPr>
      </w:pPr>
      <w:bookmarkStart w:id="61" w:name="_Toc52955488"/>
      <w:r w:rsidRPr="00FF0647">
        <w:rPr>
          <w:lang w:val="en-GB"/>
        </w:rPr>
        <w:t>The Regulators</w:t>
      </w:r>
      <w:bookmarkEnd w:id="61"/>
    </w:p>
    <w:p w:rsidR="00BD74D5" w:rsidRDefault="00BD74D5" w:rsidP="00BD74D5">
      <w:pPr>
        <w:pStyle w:val="ListParagraph"/>
      </w:pPr>
      <w:r>
        <w:t xml:space="preserve">$104.9 million to AUSTRAC over four years </w:t>
      </w:r>
      <w:r w:rsidR="00553B39">
        <w:t xml:space="preserve">from 2020-21 </w:t>
      </w:r>
      <w:r>
        <w:t>to strengthen its capacity to combat serious financial crime and to protect Australia’s financial system from criminal activities.</w:t>
      </w:r>
    </w:p>
    <w:p w:rsidR="00BD74D5" w:rsidRDefault="00BD74D5" w:rsidP="00BD74D5">
      <w:pPr>
        <w:pStyle w:val="ListParagraph"/>
      </w:pPr>
      <w:r>
        <w:t xml:space="preserve">$459.2 million over four years </w:t>
      </w:r>
      <w:r w:rsidR="00553B39">
        <w:t xml:space="preserve">from 2020-21 </w:t>
      </w:r>
      <w:r>
        <w:t>to the CSIRO to address the impact of COVID-19 on its commercial activities</w:t>
      </w:r>
    </w:p>
    <w:p w:rsidR="00BD74D5" w:rsidRDefault="00BD74D5" w:rsidP="00BD74D5">
      <w:pPr>
        <w:pStyle w:val="ListParagraph"/>
      </w:pPr>
      <w:r>
        <w:t>$305.9 million additional funding to the Australian Taxation Office for the delivery of the next phase of the JobKeeper Payment and the JobMaker Hiring Credit</w:t>
      </w:r>
    </w:p>
    <w:p w:rsidR="00BD74D5" w:rsidRDefault="00BD74D5" w:rsidP="00BD74D5">
      <w:pPr>
        <w:pStyle w:val="ListParagraph"/>
      </w:pPr>
      <w:r>
        <w:t>$241.2 million for the Australian Bureau of Statistics to maintain Australia’s statistics gathering and analysis capabilities to better track Australia’s COVID-19 economic recovery</w:t>
      </w:r>
    </w:p>
    <w:p w:rsidR="00BD74D5" w:rsidRDefault="00BD74D5" w:rsidP="00BD74D5">
      <w:pPr>
        <w:pStyle w:val="ListParagraph"/>
      </w:pPr>
      <w:r>
        <w:t>$116.5 million for the Australian Competition and Consumer Commission (including capital funding of $32.9 million) to better protect consumers and small businesses</w:t>
      </w:r>
    </w:p>
    <w:p w:rsidR="00BD74D5" w:rsidRDefault="00BD74D5" w:rsidP="00BD74D5">
      <w:pPr>
        <w:pStyle w:val="ListParagraph"/>
      </w:pPr>
      <w:r>
        <w:t>$106.4 million for the Treasury to continue to implement the Government’s COVID-19 response and track economic recovery</w:t>
      </w:r>
    </w:p>
    <w:p w:rsidR="00BD74D5" w:rsidRDefault="00BD74D5" w:rsidP="00BD74D5">
      <w:pPr>
        <w:pStyle w:val="ListParagraph"/>
      </w:pPr>
      <w:r>
        <w:t>$28.8 million to the Australian Prudential Regulation Authority to boost its capacity to respond to risks within the financial system, with costs to be recovered from industry.</w:t>
      </w:r>
    </w:p>
    <w:p w:rsidR="00553B39" w:rsidRPr="00FF0647" w:rsidRDefault="00553B39" w:rsidP="00BD74D5">
      <w:pPr>
        <w:pStyle w:val="ListParagraph"/>
      </w:pPr>
      <w:r w:rsidRPr="00FF0647">
        <w:t>$15 million in additional funding for serious and organised crime in the tax and superannuation system. This extends the 2017-18 Budget measure for another two years</w:t>
      </w:r>
      <w:r>
        <w:t xml:space="preserve"> </w:t>
      </w:r>
      <w:r w:rsidRPr="00FB3662">
        <w:t>to 30 June 2023</w:t>
      </w:r>
    </w:p>
    <w:p w:rsidR="00BD74D5" w:rsidRDefault="00BD74D5" w:rsidP="00BD74D5">
      <w:pPr>
        <w:rPr>
          <w:lang w:val="en-GB"/>
        </w:rPr>
      </w:pPr>
    </w:p>
    <w:p w:rsidR="00B4507D" w:rsidRDefault="00B4507D">
      <w:pPr>
        <w:spacing w:after="200"/>
        <w:rPr>
          <w:rFonts w:eastAsiaTheme="majorEastAsia" w:cstheme="majorBidi"/>
          <w:color w:val="262626" w:themeColor="text1" w:themeTint="D9"/>
          <w:sz w:val="48"/>
          <w:szCs w:val="44"/>
          <w:lang w:val="en-GB"/>
        </w:rPr>
      </w:pPr>
      <w:r>
        <w:rPr>
          <w:lang w:val="en-GB"/>
        </w:rPr>
        <w:br w:type="page"/>
      </w:r>
    </w:p>
    <w:p w:rsidR="00CA7342" w:rsidRPr="00FF0647" w:rsidRDefault="00CA7342" w:rsidP="00CA7342">
      <w:pPr>
        <w:pStyle w:val="Heading1"/>
        <w:rPr>
          <w:lang w:val="en-GB"/>
        </w:rPr>
      </w:pPr>
      <w:bookmarkStart w:id="62" w:name="_Toc52955489"/>
      <w:r w:rsidRPr="00FF0647">
        <w:rPr>
          <w:lang w:val="en-GB"/>
        </w:rPr>
        <w:lastRenderedPageBreak/>
        <w:t>The Economy</w:t>
      </w:r>
      <w:bookmarkEnd w:id="62"/>
    </w:p>
    <w:p w:rsidR="004E7ECE" w:rsidRDefault="00D72489" w:rsidP="00BA18A3">
      <w:pPr>
        <w:rPr>
          <w:lang w:val="en-GB"/>
        </w:rPr>
      </w:pPr>
      <w:r>
        <w:rPr>
          <w:lang w:val="en-GB"/>
        </w:rPr>
        <w:t xml:space="preserve">We knew there was going to be a big black hole of a deficit. The Treasurer revealed $213.7 billion in 2020-21, </w:t>
      </w:r>
      <w:r w:rsidR="00B34845">
        <w:rPr>
          <w:lang w:val="en-GB"/>
        </w:rPr>
        <w:t xml:space="preserve">with an expectation of this </w:t>
      </w:r>
      <w:r w:rsidRPr="00D72489">
        <w:rPr>
          <w:lang w:val="en-GB"/>
        </w:rPr>
        <w:t>falling to $66.9 billion by 2023-24.</w:t>
      </w:r>
    </w:p>
    <w:p w:rsidR="00D72489" w:rsidRDefault="00D72489" w:rsidP="00BA18A3">
      <w:pPr>
        <w:rPr>
          <w:lang w:val="en-GB"/>
        </w:rPr>
      </w:pPr>
    </w:p>
    <w:p w:rsidR="00D72489" w:rsidRDefault="00D72489" w:rsidP="00BA18A3">
      <w:pPr>
        <w:rPr>
          <w:lang w:val="en-GB"/>
        </w:rPr>
      </w:pPr>
      <w:r w:rsidRPr="00D72489">
        <w:rPr>
          <w:lang w:val="en-GB"/>
        </w:rPr>
        <w:t>Australia’s economy contracted by 7</w:t>
      </w:r>
      <w:r>
        <w:rPr>
          <w:lang w:val="en-GB"/>
        </w:rPr>
        <w:t xml:space="preserve">% </w:t>
      </w:r>
      <w:r w:rsidRPr="00D72489">
        <w:rPr>
          <w:lang w:val="en-GB"/>
        </w:rPr>
        <w:t>in the June quarter</w:t>
      </w:r>
      <w:r>
        <w:rPr>
          <w:lang w:val="en-GB"/>
        </w:rPr>
        <w:t>.</w:t>
      </w:r>
    </w:p>
    <w:p w:rsidR="00D72489" w:rsidRDefault="00D72489" w:rsidP="00BA18A3">
      <w:pPr>
        <w:rPr>
          <w:lang w:val="en-GB"/>
        </w:rPr>
      </w:pPr>
    </w:p>
    <w:p w:rsidR="00D72489" w:rsidRDefault="00D72489" w:rsidP="00BA18A3">
      <w:pPr>
        <w:rPr>
          <w:lang w:val="en-GB"/>
        </w:rPr>
      </w:pPr>
      <w:r w:rsidRPr="00D72489">
        <w:rPr>
          <w:lang w:val="en-GB"/>
        </w:rPr>
        <w:t xml:space="preserve">Gross debt will increase to $872 billion </w:t>
      </w:r>
      <w:r>
        <w:rPr>
          <w:lang w:val="en-GB"/>
        </w:rPr>
        <w:t>(</w:t>
      </w:r>
      <w:r w:rsidRPr="00D72489">
        <w:rPr>
          <w:lang w:val="en-GB"/>
        </w:rPr>
        <w:t>45</w:t>
      </w:r>
      <w:r>
        <w:rPr>
          <w:lang w:val="en-GB"/>
        </w:rPr>
        <w:t xml:space="preserve">% </w:t>
      </w:r>
      <w:r w:rsidRPr="00D72489">
        <w:rPr>
          <w:lang w:val="en-GB"/>
        </w:rPr>
        <w:t>of GDP</w:t>
      </w:r>
      <w:r>
        <w:rPr>
          <w:lang w:val="en-GB"/>
        </w:rPr>
        <w:t>)</w:t>
      </w:r>
      <w:r w:rsidRPr="00D72489">
        <w:rPr>
          <w:lang w:val="en-GB"/>
        </w:rPr>
        <w:t xml:space="preserve"> this year and stabilise at around 55</w:t>
      </w:r>
      <w:r>
        <w:rPr>
          <w:lang w:val="en-GB"/>
        </w:rPr>
        <w:t xml:space="preserve">% </w:t>
      </w:r>
      <w:r w:rsidRPr="00D72489">
        <w:rPr>
          <w:lang w:val="en-GB"/>
        </w:rPr>
        <w:t>of GDP in the medium term.</w:t>
      </w:r>
    </w:p>
    <w:p w:rsidR="00D72489" w:rsidRDefault="00D72489" w:rsidP="00BA18A3">
      <w:pPr>
        <w:rPr>
          <w:lang w:val="en-GB"/>
        </w:rPr>
      </w:pPr>
    </w:p>
    <w:p w:rsidR="00D72489" w:rsidRDefault="00D72489" w:rsidP="00BA18A3">
      <w:pPr>
        <w:rPr>
          <w:lang w:val="en-GB"/>
        </w:rPr>
      </w:pPr>
      <w:r w:rsidRPr="00D72489">
        <w:rPr>
          <w:lang w:val="en-GB"/>
        </w:rPr>
        <w:t>Net debt will increase to $703 billion</w:t>
      </w:r>
      <w:r>
        <w:rPr>
          <w:lang w:val="en-GB"/>
        </w:rPr>
        <w:t xml:space="preserve"> (36% of GDP) t</w:t>
      </w:r>
      <w:r w:rsidRPr="00D72489">
        <w:rPr>
          <w:lang w:val="en-GB"/>
        </w:rPr>
        <w:t>his year before peaking at 44</w:t>
      </w:r>
      <w:r>
        <w:rPr>
          <w:lang w:val="en-GB"/>
        </w:rPr>
        <w:t xml:space="preserve">% </w:t>
      </w:r>
      <w:r w:rsidRPr="00D72489">
        <w:rPr>
          <w:lang w:val="en-GB"/>
        </w:rPr>
        <w:t>of GDP in June 2024, and declining to less than 40</w:t>
      </w:r>
      <w:r>
        <w:rPr>
          <w:lang w:val="en-GB"/>
        </w:rPr>
        <w:t xml:space="preserve">% </w:t>
      </w:r>
      <w:r w:rsidRPr="00D72489">
        <w:rPr>
          <w:lang w:val="en-GB"/>
        </w:rPr>
        <w:t>of GDP over the medium term.</w:t>
      </w:r>
    </w:p>
    <w:p w:rsidR="00D72489" w:rsidRDefault="00D72489" w:rsidP="00BA18A3">
      <w:pPr>
        <w:rPr>
          <w:lang w:val="en-GB"/>
        </w:rPr>
      </w:pPr>
    </w:p>
    <w:p w:rsidR="00D72489" w:rsidRDefault="00D72489" w:rsidP="00D72489">
      <w:pPr>
        <w:rPr>
          <w:lang w:val="en-GB"/>
        </w:rPr>
      </w:pPr>
      <w:r w:rsidRPr="00D72489">
        <w:rPr>
          <w:lang w:val="en-GB"/>
        </w:rPr>
        <w:t>GDP is forecast to fall by 3¾</w:t>
      </w:r>
      <w:r>
        <w:rPr>
          <w:lang w:val="en-GB"/>
        </w:rPr>
        <w:t xml:space="preserve">% </w:t>
      </w:r>
      <w:r w:rsidRPr="00D72489">
        <w:rPr>
          <w:lang w:val="en-GB"/>
        </w:rPr>
        <w:t>this calendar year and the unemployment rate is forecast to peak at 8</w:t>
      </w:r>
      <w:r>
        <w:rPr>
          <w:lang w:val="en-GB"/>
        </w:rPr>
        <w:t xml:space="preserve">% </w:t>
      </w:r>
      <w:r w:rsidRPr="00D72489">
        <w:rPr>
          <w:lang w:val="en-GB"/>
        </w:rPr>
        <w:t>in the December quarter.</w:t>
      </w:r>
      <w:r>
        <w:rPr>
          <w:lang w:val="en-GB"/>
        </w:rPr>
        <w:t xml:space="preserve"> </w:t>
      </w:r>
      <w:r w:rsidRPr="00D72489">
        <w:rPr>
          <w:lang w:val="en-GB"/>
        </w:rPr>
        <w:t>Next calendar year, GDP is forecast to grow by 4¼</w:t>
      </w:r>
      <w:r>
        <w:rPr>
          <w:lang w:val="en-GB"/>
        </w:rPr>
        <w:t>%</w:t>
      </w:r>
      <w:r w:rsidRPr="00D72489">
        <w:rPr>
          <w:lang w:val="en-GB"/>
        </w:rPr>
        <w:t>, and the unemployment rate is forecast to fall to 6½</w:t>
      </w:r>
      <w:r>
        <w:rPr>
          <w:lang w:val="en-GB"/>
        </w:rPr>
        <w:t xml:space="preserve">% </w:t>
      </w:r>
      <w:r w:rsidRPr="00D72489">
        <w:rPr>
          <w:lang w:val="en-GB"/>
        </w:rPr>
        <w:t>in the June quarter 2022.</w:t>
      </w:r>
    </w:p>
    <w:p w:rsidR="00F11B0D" w:rsidRDefault="00F11B0D" w:rsidP="00D72489">
      <w:pPr>
        <w:rPr>
          <w:lang w:val="en-GB"/>
        </w:rPr>
      </w:pPr>
    </w:p>
    <w:p w:rsidR="00F11B0D" w:rsidRPr="00F11B0D" w:rsidRDefault="00F11B0D" w:rsidP="00D72489">
      <w:pPr>
        <w:rPr>
          <w:b/>
          <w:bCs/>
          <w:lang w:val="en-GB"/>
        </w:rPr>
      </w:pPr>
      <w:r w:rsidRPr="00F11B0D">
        <w:rPr>
          <w:b/>
          <w:bCs/>
          <w:lang w:val="en-GB"/>
        </w:rPr>
        <w:t>Where revenue comes from (2020-21)</w:t>
      </w:r>
    </w:p>
    <w:p w:rsidR="00F11B0D" w:rsidRDefault="00F11B0D" w:rsidP="00D72489">
      <w:pPr>
        <w:rPr>
          <w:lang w:val="en-GB"/>
        </w:rPr>
      </w:pPr>
    </w:p>
    <w:p w:rsidR="00F11B0D" w:rsidRDefault="00F11B0D" w:rsidP="00D72489">
      <w:pPr>
        <w:rPr>
          <w:lang w:val="en-GB"/>
        </w:rPr>
      </w:pPr>
      <w:r>
        <w:rPr>
          <w:noProof/>
          <w:lang w:val="en-GB"/>
        </w:rPr>
        <w:drawing>
          <wp:inline distT="0" distB="0" distL="0" distR="0">
            <wp:extent cx="4286020" cy="2128837"/>
            <wp:effectExtent l="0" t="0" r="0" b="508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53"/>
                    <a:stretch>
                      <a:fillRect/>
                    </a:stretch>
                  </pic:blipFill>
                  <pic:spPr>
                    <a:xfrm>
                      <a:off x="0" y="0"/>
                      <a:ext cx="4354698" cy="2162949"/>
                    </a:xfrm>
                    <a:prstGeom prst="rect">
                      <a:avLst/>
                    </a:prstGeom>
                  </pic:spPr>
                </pic:pic>
              </a:graphicData>
            </a:graphic>
          </wp:inline>
        </w:drawing>
      </w:r>
    </w:p>
    <w:p w:rsidR="00F11B0D" w:rsidRDefault="00F11B0D" w:rsidP="00D72489">
      <w:pPr>
        <w:rPr>
          <w:lang w:val="en-GB"/>
        </w:rPr>
      </w:pPr>
    </w:p>
    <w:p w:rsidR="00F11B0D" w:rsidRDefault="00F11B0D" w:rsidP="00D72489">
      <w:pPr>
        <w:rPr>
          <w:b/>
          <w:bCs/>
          <w:lang w:val="en-GB"/>
        </w:rPr>
      </w:pPr>
      <w:r w:rsidRPr="00F11B0D">
        <w:rPr>
          <w:b/>
          <w:bCs/>
          <w:lang w:val="en-GB"/>
        </w:rPr>
        <w:t>Where money is spent (2020-21)</w:t>
      </w:r>
    </w:p>
    <w:p w:rsidR="00F11B0D" w:rsidRDefault="00F11B0D" w:rsidP="00D72489">
      <w:pPr>
        <w:rPr>
          <w:b/>
          <w:bCs/>
          <w:lang w:val="en-GB"/>
        </w:rPr>
      </w:pPr>
      <w:r>
        <w:rPr>
          <w:b/>
          <w:bCs/>
          <w:noProof/>
          <w:lang w:val="en-GB"/>
        </w:rPr>
        <w:drawing>
          <wp:inline distT="0" distB="0" distL="0" distR="0">
            <wp:extent cx="4464843" cy="2217657"/>
            <wp:effectExtent l="0" t="0" r="5715" b="508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54"/>
                    <a:stretch>
                      <a:fillRect/>
                    </a:stretch>
                  </pic:blipFill>
                  <pic:spPr>
                    <a:xfrm>
                      <a:off x="0" y="0"/>
                      <a:ext cx="4494377" cy="2232327"/>
                    </a:xfrm>
                    <a:prstGeom prst="rect">
                      <a:avLst/>
                    </a:prstGeom>
                  </pic:spPr>
                </pic:pic>
              </a:graphicData>
            </a:graphic>
          </wp:inline>
        </w:drawing>
      </w:r>
    </w:p>
    <w:p w:rsidR="00F11B0D" w:rsidRPr="00F11B0D" w:rsidRDefault="00F11B0D" w:rsidP="00F11B0D">
      <w:pPr>
        <w:rPr>
          <w:i/>
          <w:iCs/>
          <w:sz w:val="19"/>
          <w:szCs w:val="19"/>
        </w:rPr>
      </w:pPr>
      <w:r w:rsidRPr="00F11B0D">
        <w:rPr>
          <w:i/>
          <w:iCs/>
          <w:sz w:val="19"/>
          <w:szCs w:val="19"/>
          <w:lang w:val="en-GB"/>
        </w:rPr>
        <w:t xml:space="preserve">Source: </w:t>
      </w:r>
      <w:r>
        <w:rPr>
          <w:i/>
          <w:iCs/>
          <w:sz w:val="19"/>
          <w:szCs w:val="19"/>
          <w:lang w:val="en-GB"/>
        </w:rPr>
        <w:t xml:space="preserve">2020-21 Federal Budget </w:t>
      </w:r>
      <w:r w:rsidRPr="00F11B0D">
        <w:rPr>
          <w:i/>
          <w:iCs/>
          <w:sz w:val="19"/>
          <w:szCs w:val="19"/>
          <w:lang w:val="en-GB"/>
        </w:rPr>
        <w:t>Appendix B: Revenue and spending</w:t>
      </w:r>
    </w:p>
    <w:sectPr w:rsidR="00F11B0D" w:rsidRPr="00F11B0D" w:rsidSect="00AF0F3D">
      <w:type w:val="continuous"/>
      <w:pgSz w:w="11906" w:h="16838" w:code="9"/>
      <w:pgMar w:top="1985" w:right="1416"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F5F4B" w:rsidRDefault="008F5F4B" w:rsidP="00DA6B36">
      <w:pPr>
        <w:spacing w:line="240" w:lineRule="auto"/>
      </w:pPr>
      <w:r>
        <w:separator/>
      </w:r>
    </w:p>
  </w:endnote>
  <w:endnote w:type="continuationSeparator" w:id="0">
    <w:p w:rsidR="008F5F4B" w:rsidRDefault="008F5F4B" w:rsidP="00DA6B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nionPro-Regular">
    <w:altName w:val="Cambria"/>
    <w:panose1 w:val="020B0604020202020204"/>
    <w:charset w:val="4D"/>
    <w:family w:val="auto"/>
    <w:notTrueType/>
    <w:pitch w:val="default"/>
    <w:sig w:usb0="00000003" w:usb1="00000000" w:usb2="00000000" w:usb3="00000000" w:csb0="00000001" w:csb1="00000000"/>
  </w:font>
  <w:font w:name="Univers (W1)">
    <w:altName w:val="Arial"/>
    <w:panose1 w:val="020B0604020202020204"/>
    <w:charset w:val="00"/>
    <w:family w:val="auto"/>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907"/>
      <w:gridCol w:w="8165"/>
    </w:tblGrid>
    <w:tr w:rsidR="00251B1A" w:rsidTr="005C2BD5">
      <w:tc>
        <w:tcPr>
          <w:tcW w:w="500" w:type="pct"/>
          <w:tcBorders>
            <w:top w:val="single" w:sz="4" w:space="0" w:color="7F7F7F" w:themeColor="text1" w:themeTint="80"/>
            <w:right w:val="single" w:sz="4" w:space="0" w:color="BFBFBF" w:themeColor="background1" w:themeShade="BF"/>
          </w:tcBorders>
          <w:shd w:val="clear" w:color="auto" w:fill="auto"/>
        </w:tcPr>
        <w:p w:rsidR="00251B1A" w:rsidRPr="00312B9A" w:rsidRDefault="00251B1A" w:rsidP="00312B9A">
          <w:pPr>
            <w:pStyle w:val="Footer"/>
            <w:rPr>
              <w:b/>
              <w:sz w:val="18"/>
              <w:szCs w:val="18"/>
            </w:rPr>
          </w:pPr>
          <w:r w:rsidRPr="00312B9A">
            <w:rPr>
              <w:b/>
              <w:sz w:val="18"/>
              <w:szCs w:val="18"/>
            </w:rPr>
            <w:fldChar w:fldCharType="begin"/>
          </w:r>
          <w:r w:rsidRPr="00312B9A">
            <w:rPr>
              <w:b/>
              <w:sz w:val="18"/>
              <w:szCs w:val="18"/>
            </w:rPr>
            <w:instrText xml:space="preserve"> PAGE   \* MERGEFORMAT </w:instrText>
          </w:r>
          <w:r w:rsidRPr="00312B9A">
            <w:rPr>
              <w:b/>
              <w:sz w:val="18"/>
              <w:szCs w:val="18"/>
            </w:rPr>
            <w:fldChar w:fldCharType="separate"/>
          </w:r>
          <w:r>
            <w:rPr>
              <w:b/>
              <w:noProof/>
              <w:sz w:val="18"/>
              <w:szCs w:val="18"/>
            </w:rPr>
            <w:t>22</w:t>
          </w:r>
          <w:r w:rsidRPr="00312B9A">
            <w:rPr>
              <w:b/>
              <w:sz w:val="18"/>
              <w:szCs w:val="18"/>
            </w:rPr>
            <w:fldChar w:fldCharType="end"/>
          </w:r>
        </w:p>
      </w:tc>
      <w:tc>
        <w:tcPr>
          <w:tcW w:w="4500" w:type="pct"/>
          <w:tcBorders>
            <w:top w:val="single" w:sz="4" w:space="0" w:color="7F7F7F" w:themeColor="text1" w:themeTint="80"/>
            <w:left w:val="single" w:sz="4" w:space="0" w:color="BFBFBF" w:themeColor="background1" w:themeShade="BF"/>
          </w:tcBorders>
        </w:tcPr>
        <w:p w:rsidR="00251B1A" w:rsidRPr="00167E88" w:rsidRDefault="00251B1A" w:rsidP="00CC4546">
          <w:pPr>
            <w:pStyle w:val="Footer"/>
            <w:rPr>
              <w:sz w:val="18"/>
              <w:szCs w:val="18"/>
            </w:rPr>
          </w:pPr>
          <w:r w:rsidRPr="00167E88">
            <w:rPr>
              <w:sz w:val="18"/>
              <w:szCs w:val="18"/>
            </w:rPr>
            <w:fldChar w:fldCharType="begin"/>
          </w:r>
          <w:r w:rsidRPr="00167E88">
            <w:rPr>
              <w:sz w:val="18"/>
              <w:szCs w:val="18"/>
            </w:rPr>
            <w:instrText xml:space="preserve"> STYLEREF  "1"  </w:instrText>
          </w:r>
          <w:r w:rsidR="0098475B">
            <w:rPr>
              <w:sz w:val="18"/>
              <w:szCs w:val="18"/>
            </w:rPr>
            <w:fldChar w:fldCharType="separate"/>
          </w:r>
          <w:r w:rsidR="004B3BFD">
            <w:rPr>
              <w:noProof/>
              <w:sz w:val="18"/>
              <w:szCs w:val="18"/>
            </w:rPr>
            <w:t>For You</w:t>
          </w:r>
          <w:r w:rsidRPr="00167E88">
            <w:rPr>
              <w:sz w:val="18"/>
              <w:szCs w:val="18"/>
            </w:rPr>
            <w:fldChar w:fldCharType="end"/>
          </w:r>
          <w:r w:rsidRPr="00167E88">
            <w:rPr>
              <w:sz w:val="18"/>
              <w:szCs w:val="18"/>
            </w:rPr>
            <w:t xml:space="preserve"> | </w:t>
          </w:r>
        </w:p>
      </w:tc>
    </w:tr>
  </w:tbl>
  <w:p w:rsidR="00251B1A" w:rsidRPr="00126976" w:rsidRDefault="00251B1A">
    <w:pPr>
      <w:pStyle w:val="Footer"/>
      <w:rPr>
        <w:sz w:val="2"/>
        <w:szCs w:val="2"/>
      </w:rPr>
    </w:pPr>
  </w:p>
  <w:p w:rsidR="00251B1A" w:rsidRPr="003D09B2" w:rsidRDefault="00251B1A">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251B1A" w:rsidTr="002A0659">
      <w:tc>
        <w:tcPr>
          <w:tcW w:w="4500" w:type="pct"/>
          <w:tcBorders>
            <w:top w:val="single" w:sz="4" w:space="0" w:color="7F7F7F" w:themeColor="text1" w:themeTint="80"/>
            <w:right w:val="single" w:sz="4" w:space="0" w:color="7F7F7F" w:themeColor="text1" w:themeTint="80"/>
          </w:tcBorders>
        </w:tcPr>
        <w:p w:rsidR="00251B1A" w:rsidRPr="002A0659" w:rsidRDefault="008F5F4B">
          <w:pPr>
            <w:pStyle w:val="Footer"/>
            <w:jc w:val="right"/>
            <w:rPr>
              <w:sz w:val="18"/>
              <w:szCs w:val="18"/>
            </w:rPr>
          </w:pPr>
          <w:sdt>
            <w:sdtPr>
              <w:rPr>
                <w:sz w:val="18"/>
                <w:szCs w:val="18"/>
              </w:rPr>
              <w:alias w:val="Company"/>
              <w:id w:val="-417483945"/>
              <w:dataBinding w:prefixMappings="xmlns:ns0='http://schemas.openxmlformats.org/officeDocument/2006/extended-properties'" w:xpath="/ns0:Properties[1]/ns0:Company[1]" w:storeItemID="{6668398D-A668-4E3E-A5EB-62B293D839F1}"/>
              <w:text/>
            </w:sdtPr>
            <w:sdtEndPr/>
            <w:sdtContent>
              <w:r w:rsidR="000D5693">
                <w:rPr>
                  <w:sz w:val="18"/>
                  <w:szCs w:val="18"/>
                </w:rPr>
                <w:t>© Knowledge Shop Pty</w:t>
              </w:r>
            </w:sdtContent>
          </w:sdt>
          <w:r w:rsidR="00251B1A" w:rsidRPr="002A0659">
            <w:rPr>
              <w:sz w:val="18"/>
              <w:szCs w:val="18"/>
            </w:rPr>
            <w:t xml:space="preserve"> | </w:t>
          </w:r>
          <w:r w:rsidR="00251B1A" w:rsidRPr="002A0659">
            <w:rPr>
              <w:sz w:val="18"/>
              <w:szCs w:val="18"/>
            </w:rPr>
            <w:fldChar w:fldCharType="begin"/>
          </w:r>
          <w:r w:rsidR="00251B1A" w:rsidRPr="002A0659">
            <w:rPr>
              <w:sz w:val="18"/>
              <w:szCs w:val="18"/>
            </w:rPr>
            <w:instrText xml:space="preserve"> STYLEREF  "1"  </w:instrText>
          </w:r>
          <w:r w:rsidR="000D5693">
            <w:rPr>
              <w:sz w:val="18"/>
              <w:szCs w:val="18"/>
            </w:rPr>
            <w:fldChar w:fldCharType="separate"/>
          </w:r>
          <w:r w:rsidR="000D5693">
            <w:rPr>
              <w:noProof/>
              <w:sz w:val="18"/>
              <w:szCs w:val="18"/>
            </w:rPr>
            <w:t>For You</w:t>
          </w:r>
          <w:r w:rsidR="00251B1A" w:rsidRPr="002A0659">
            <w:rPr>
              <w:sz w:val="18"/>
              <w:szCs w:val="18"/>
            </w:rPr>
            <w:fldChar w:fldCharType="end"/>
          </w:r>
        </w:p>
      </w:tc>
      <w:tc>
        <w:tcPr>
          <w:tcW w:w="500" w:type="pct"/>
          <w:tcBorders>
            <w:top w:val="single" w:sz="4" w:space="0" w:color="7F7F7F" w:themeColor="text1" w:themeTint="80"/>
            <w:left w:val="single" w:sz="4" w:space="0" w:color="7F7F7F" w:themeColor="text1" w:themeTint="80"/>
          </w:tcBorders>
          <w:shd w:val="clear" w:color="auto" w:fill="auto"/>
        </w:tcPr>
        <w:p w:rsidR="00251B1A" w:rsidRPr="002A0659" w:rsidRDefault="00251B1A" w:rsidP="002A0659">
          <w:pPr>
            <w:pStyle w:val="Header"/>
            <w:jc w:val="right"/>
            <w:rPr>
              <w:b/>
              <w:sz w:val="18"/>
              <w:szCs w:val="18"/>
            </w:rPr>
          </w:pPr>
          <w:r w:rsidRPr="002A0659">
            <w:rPr>
              <w:b/>
              <w:sz w:val="18"/>
              <w:szCs w:val="18"/>
            </w:rPr>
            <w:fldChar w:fldCharType="begin"/>
          </w:r>
          <w:r w:rsidRPr="002A0659">
            <w:rPr>
              <w:b/>
              <w:sz w:val="18"/>
              <w:szCs w:val="18"/>
            </w:rPr>
            <w:instrText xml:space="preserve"> PAGE   \* MERGEFORMAT </w:instrText>
          </w:r>
          <w:r w:rsidRPr="002A0659">
            <w:rPr>
              <w:b/>
              <w:sz w:val="18"/>
              <w:szCs w:val="18"/>
            </w:rPr>
            <w:fldChar w:fldCharType="separate"/>
          </w:r>
          <w:r>
            <w:rPr>
              <w:b/>
              <w:noProof/>
              <w:sz w:val="18"/>
              <w:szCs w:val="18"/>
            </w:rPr>
            <w:t>23</w:t>
          </w:r>
          <w:r w:rsidRPr="002A0659">
            <w:rPr>
              <w:b/>
              <w:sz w:val="18"/>
              <w:szCs w:val="18"/>
            </w:rPr>
            <w:fldChar w:fldCharType="end"/>
          </w:r>
        </w:p>
      </w:tc>
    </w:tr>
  </w:tbl>
  <w:p w:rsidR="00251B1A" w:rsidRPr="003D09B2" w:rsidRDefault="00251B1A">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F5F4B" w:rsidRDefault="008F5F4B" w:rsidP="00DA6B36">
      <w:pPr>
        <w:spacing w:line="240" w:lineRule="auto"/>
      </w:pPr>
      <w:r>
        <w:separator/>
      </w:r>
    </w:p>
  </w:footnote>
  <w:footnote w:type="continuationSeparator" w:id="0">
    <w:p w:rsidR="008F5F4B" w:rsidRDefault="008F5F4B" w:rsidP="00DA6B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A4ED9"/>
    <w:multiLevelType w:val="hybridMultilevel"/>
    <w:tmpl w:val="2548B5FC"/>
    <w:lvl w:ilvl="0" w:tplc="B7F24C58">
      <w:start w:val="1"/>
      <w:numFmt w:val="bullet"/>
      <w:pStyle w:val="LightGrid-Accent31"/>
      <w:lvlText w:val=""/>
      <w:lvlJc w:val="left"/>
      <w:pPr>
        <w:ind w:left="1440" w:hanging="360"/>
      </w:pPr>
      <w:rPr>
        <w:rFonts w:ascii="Symbol" w:hAnsi="Symbol" w:hint="default"/>
        <w:color w:val="A6A6A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2764BB"/>
    <w:multiLevelType w:val="multilevel"/>
    <w:tmpl w:val="17BE5AEE"/>
    <w:lvl w:ilvl="0">
      <w:start w:val="1"/>
      <w:numFmt w:val="upperLetter"/>
      <w:suff w:val="nothing"/>
      <w:lvlText w:val="%1"/>
      <w:lvlJc w:val="left"/>
      <w:pPr>
        <w:ind w:left="284" w:hanging="284"/>
      </w:pPr>
      <w:rPr>
        <w:rFonts w:ascii="Calibri" w:hAnsi="Calibri" w:hint="default"/>
        <w:b/>
        <w:i w:val="0"/>
        <w:color w:val="auto"/>
        <w:sz w:val="19"/>
      </w:rPr>
    </w:lvl>
    <w:lvl w:ilvl="1">
      <w:start w:val="1"/>
      <w:numFmt w:val="decimal"/>
      <w:lvlText w:val="%2"/>
      <w:lvlJc w:val="left"/>
      <w:pPr>
        <w:ind w:left="284" w:hanging="284"/>
      </w:pPr>
      <w:rPr>
        <w:rFonts w:ascii="Calibri" w:hAnsi="Calibri" w:hint="default"/>
        <w:b w:val="0"/>
        <w:i w:val="0"/>
        <w:color w:val="auto"/>
        <w:sz w:val="19"/>
      </w:rPr>
    </w:lvl>
    <w:lvl w:ilvl="2">
      <w:start w:val="1"/>
      <w:numFmt w:val="decimal"/>
      <w:lvlText w:val="%2.%3"/>
      <w:lvlJc w:val="left"/>
      <w:pPr>
        <w:ind w:left="284" w:hanging="284"/>
      </w:pPr>
      <w:rPr>
        <w:rFonts w:ascii="Calibri" w:hAnsi="Calibri" w:hint="default"/>
        <w:b w:val="0"/>
        <w:i w:val="0"/>
        <w:sz w:val="19"/>
      </w:rPr>
    </w:lvl>
    <w:lvl w:ilvl="3">
      <w:start w:val="1"/>
      <w:numFmt w:val="decimal"/>
      <w:lvlText w:val="%2.%3.%4"/>
      <w:lvlJc w:val="left"/>
      <w:pPr>
        <w:ind w:left="284" w:hanging="284"/>
      </w:pPr>
      <w:rPr>
        <w:rFonts w:ascii="Calibri" w:hAnsi="Calibri" w:hint="default"/>
        <w:b w:val="0"/>
        <w:i w:val="0"/>
        <w:sz w:val="19"/>
      </w:rPr>
    </w:lvl>
    <w:lvl w:ilvl="4">
      <w:start w:val="1"/>
      <w:numFmt w:val="decimal"/>
      <w:lvlText w:val="%2.%3.%4.%5"/>
      <w:lvlJc w:val="left"/>
      <w:pPr>
        <w:ind w:left="284" w:hanging="284"/>
      </w:pPr>
      <w:rPr>
        <w:rFonts w:ascii="Calibri" w:hAnsi="Calibri" w:hint="default"/>
        <w:b w:val="0"/>
        <w:i w:val="0"/>
        <w:sz w:val="19"/>
      </w:rPr>
    </w:lvl>
    <w:lvl w:ilvl="5">
      <w:start w:val="1"/>
      <w:numFmt w:val="lowerRoman"/>
      <w:lvlText w:val="(%6)"/>
      <w:lvlJc w:val="left"/>
      <w:pPr>
        <w:ind w:left="284" w:hanging="284"/>
      </w:pPr>
      <w:rPr>
        <w:rFonts w:ascii="Calibri" w:hAnsi="Calibri" w:hint="default"/>
        <w:b w:val="0"/>
        <w:i w:val="0"/>
        <w:sz w:val="19"/>
      </w:rPr>
    </w:lvl>
    <w:lvl w:ilvl="6">
      <w:start w:val="1"/>
      <w:numFmt w:val="decimal"/>
      <w:lvlText w:val="%7."/>
      <w:lvlJc w:val="left"/>
      <w:pPr>
        <w:ind w:left="284" w:hanging="284"/>
      </w:pPr>
      <w:rPr>
        <w:rFonts w:ascii="Calibri" w:hAnsi="Calibri" w:hint="default"/>
        <w:b w:val="0"/>
        <w:i w:val="0"/>
        <w:sz w:val="19"/>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ascii="Calibri" w:hAnsi="Calibri" w:hint="default"/>
        <w:b w:val="0"/>
        <w:i w:val="0"/>
        <w:sz w:val="19"/>
      </w:rPr>
    </w:lvl>
  </w:abstractNum>
  <w:abstractNum w:abstractNumId="2" w15:restartNumberingAfterBreak="0">
    <w:nsid w:val="126265BA"/>
    <w:multiLevelType w:val="multilevel"/>
    <w:tmpl w:val="C0EA599C"/>
    <w:styleLink w:val="Style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105C6E"/>
    <w:multiLevelType w:val="hybridMultilevel"/>
    <w:tmpl w:val="68EA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13273"/>
    <w:multiLevelType w:val="hybridMultilevel"/>
    <w:tmpl w:val="40822E22"/>
    <w:lvl w:ilvl="0" w:tplc="30EE7118">
      <w:start w:val="1"/>
      <w:numFmt w:val="bullet"/>
      <w:lvlText w:val=""/>
      <w:lvlJc w:val="left"/>
      <w:pPr>
        <w:ind w:left="1440" w:hanging="360"/>
      </w:pPr>
      <w:rPr>
        <w:rFonts w:ascii="Symbol" w:hAnsi="Symbol" w:hint="default"/>
        <w:color w:val="A6A6A6" w:themeColor="background1" w:themeShade="A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7440C8B"/>
    <w:multiLevelType w:val="multilevel"/>
    <w:tmpl w:val="CB5C4156"/>
    <w:lvl w:ilvl="0">
      <w:start w:val="1"/>
      <w:numFmt w:val="bullet"/>
      <w:lvlRestart w:val="0"/>
      <w:pStyle w:val="Bullet"/>
      <w:lvlText w:val="•"/>
      <w:lvlJc w:val="left"/>
      <w:pPr>
        <w:tabs>
          <w:tab w:val="num" w:pos="566"/>
        </w:tabs>
        <w:ind w:left="566" w:hanging="566"/>
      </w:pPr>
      <w:rPr>
        <w:rFonts w:ascii="Times New Roman" w:hAnsi="Times New Roman"/>
        <w:b w:val="0"/>
        <w:i w:val="0"/>
      </w:rPr>
    </w:lvl>
    <w:lvl w:ilvl="1">
      <w:start w:val="1"/>
      <w:numFmt w:val="bullet"/>
      <w:pStyle w:val="Dash"/>
      <w:lvlText w:val="–"/>
      <w:lvlJc w:val="left"/>
      <w:pPr>
        <w:tabs>
          <w:tab w:val="num" w:pos="1134"/>
        </w:tabs>
        <w:ind w:left="1134" w:hanging="568"/>
      </w:pPr>
      <w:rPr>
        <w:rFonts w:ascii="Times New Roman" w:hAnsi="Times New Roman"/>
        <w:b w:val="0"/>
        <w:i w:val="0"/>
      </w:rPr>
    </w:lvl>
    <w:lvl w:ilvl="2">
      <w:start w:val="1"/>
      <w:numFmt w:val="bullet"/>
      <w:pStyle w:val="Dash"/>
      <w:lvlText w:val=":"/>
      <w:lvlJc w:val="left"/>
      <w:pPr>
        <w:tabs>
          <w:tab w:val="num" w:pos="1700"/>
        </w:tabs>
        <w:ind w:left="1700" w:hanging="566"/>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 w15:restartNumberingAfterBreak="0">
    <w:nsid w:val="2AF822E7"/>
    <w:multiLevelType w:val="hybridMultilevel"/>
    <w:tmpl w:val="5CFCB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F26947"/>
    <w:multiLevelType w:val="hybridMultilevel"/>
    <w:tmpl w:val="19E27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714D4B"/>
    <w:multiLevelType w:val="multilevel"/>
    <w:tmpl w:val="A316FE50"/>
    <w:styleLink w:val="Chapter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D265BE"/>
    <w:multiLevelType w:val="hybridMultilevel"/>
    <w:tmpl w:val="D40416D2"/>
    <w:lvl w:ilvl="0" w:tplc="390290AE">
      <w:start w:val="1"/>
      <w:numFmt w:val="bullet"/>
      <w:lvlText w:val=""/>
      <w:lvlJc w:val="left"/>
      <w:pPr>
        <w:ind w:left="400" w:hanging="360"/>
      </w:pPr>
      <w:rPr>
        <w:rFonts w:ascii="Symbol" w:hAnsi="Symbol" w:hint="default"/>
        <w:color w:val="BFBFBF" w:themeColor="background1" w:themeShade="BF"/>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 w15:restartNumberingAfterBreak="0">
    <w:nsid w:val="3F950960"/>
    <w:multiLevelType w:val="multilevel"/>
    <w:tmpl w:val="D2DE0810"/>
    <w:lvl w:ilvl="0">
      <w:start w:val="1"/>
      <w:numFmt w:val="bullet"/>
      <w:lvlRestart w:val="0"/>
      <w:pStyle w:val="dotpoint"/>
      <w:lvlText w:val="•"/>
      <w:lvlJc w:val="left"/>
      <w:pPr>
        <w:tabs>
          <w:tab w:val="num" w:pos="2268"/>
        </w:tabs>
        <w:ind w:left="2268" w:hanging="284"/>
      </w:pPr>
      <w:rPr>
        <w:b w:val="0"/>
        <w:i w:val="0"/>
        <w:color w:val="000000"/>
      </w:rPr>
    </w:lvl>
    <w:lvl w:ilvl="1">
      <w:start w:val="1"/>
      <w:numFmt w:val="bullet"/>
      <w:pStyle w:val="dotpoint2"/>
      <w:lvlText w:val="–"/>
      <w:lvlJc w:val="left"/>
      <w:pPr>
        <w:tabs>
          <w:tab w:val="num" w:pos="2551"/>
        </w:tabs>
        <w:ind w:left="2551" w:hanging="283"/>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457D047A"/>
    <w:multiLevelType w:val="multilevel"/>
    <w:tmpl w:val="DFAC64C4"/>
    <w:lvl w:ilvl="0">
      <w:start w:val="5"/>
      <w:numFmt w:val="decimal"/>
      <w:lvlText w:val="%1."/>
      <w:lvlJc w:val="left"/>
      <w:pPr>
        <w:tabs>
          <w:tab w:val="num" w:pos="720"/>
        </w:tabs>
        <w:ind w:left="720" w:hanging="360"/>
      </w:pPr>
    </w:lvl>
    <w:lvl w:ilvl="1">
      <w:start w:val="1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E366ED"/>
    <w:multiLevelType w:val="hybridMultilevel"/>
    <w:tmpl w:val="D1E8625C"/>
    <w:lvl w:ilvl="0" w:tplc="BE94A6CE">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F65D26"/>
    <w:multiLevelType w:val="hybridMultilevel"/>
    <w:tmpl w:val="64687A96"/>
    <w:lvl w:ilvl="0" w:tplc="7E6ECAAA">
      <w:start w:val="1"/>
      <w:numFmt w:val="bullet"/>
      <w:pStyle w:val="MediumGrid1-Accent21"/>
      <w:lvlText w:val=""/>
      <w:lvlJc w:val="left"/>
      <w:pPr>
        <w:ind w:left="1004" w:hanging="360"/>
      </w:pPr>
      <w:rPr>
        <w:rFonts w:ascii="Symbol" w:hAnsi="Symbol" w:hint="default"/>
        <w:color w:val="7F7F7F"/>
      </w:rPr>
    </w:lvl>
    <w:lvl w:ilvl="1" w:tplc="0C090019">
      <w:start w:val="1"/>
      <w:numFmt w:val="bullet"/>
      <w:lvlText w:val="o"/>
      <w:lvlJc w:val="left"/>
      <w:pPr>
        <w:ind w:left="2520" w:hanging="360"/>
      </w:pPr>
      <w:rPr>
        <w:rFonts w:ascii="Courier New" w:hAnsi="Courier New" w:cs="Courier New" w:hint="default"/>
      </w:rPr>
    </w:lvl>
    <w:lvl w:ilvl="2" w:tplc="0C09001B" w:tentative="1">
      <w:start w:val="1"/>
      <w:numFmt w:val="bullet"/>
      <w:lvlText w:val=""/>
      <w:lvlJc w:val="left"/>
      <w:pPr>
        <w:ind w:left="3240" w:hanging="360"/>
      </w:pPr>
      <w:rPr>
        <w:rFonts w:ascii="Wingdings" w:hAnsi="Wingdings" w:hint="default"/>
      </w:rPr>
    </w:lvl>
    <w:lvl w:ilvl="3" w:tplc="0C09000F" w:tentative="1">
      <w:start w:val="1"/>
      <w:numFmt w:val="bullet"/>
      <w:lvlText w:val=""/>
      <w:lvlJc w:val="left"/>
      <w:pPr>
        <w:ind w:left="3960" w:hanging="360"/>
      </w:pPr>
      <w:rPr>
        <w:rFonts w:ascii="Symbol" w:hAnsi="Symbol" w:hint="default"/>
      </w:rPr>
    </w:lvl>
    <w:lvl w:ilvl="4" w:tplc="0C090019" w:tentative="1">
      <w:start w:val="1"/>
      <w:numFmt w:val="bullet"/>
      <w:lvlText w:val="o"/>
      <w:lvlJc w:val="left"/>
      <w:pPr>
        <w:ind w:left="4680" w:hanging="360"/>
      </w:pPr>
      <w:rPr>
        <w:rFonts w:ascii="Courier New" w:hAnsi="Courier New" w:cs="Courier New" w:hint="default"/>
      </w:rPr>
    </w:lvl>
    <w:lvl w:ilvl="5" w:tplc="0C09001B" w:tentative="1">
      <w:start w:val="1"/>
      <w:numFmt w:val="bullet"/>
      <w:lvlText w:val=""/>
      <w:lvlJc w:val="left"/>
      <w:pPr>
        <w:ind w:left="5400" w:hanging="360"/>
      </w:pPr>
      <w:rPr>
        <w:rFonts w:ascii="Wingdings" w:hAnsi="Wingdings" w:hint="default"/>
      </w:rPr>
    </w:lvl>
    <w:lvl w:ilvl="6" w:tplc="0C09000F" w:tentative="1">
      <w:start w:val="1"/>
      <w:numFmt w:val="bullet"/>
      <w:lvlText w:val=""/>
      <w:lvlJc w:val="left"/>
      <w:pPr>
        <w:ind w:left="6120" w:hanging="360"/>
      </w:pPr>
      <w:rPr>
        <w:rFonts w:ascii="Symbol" w:hAnsi="Symbol" w:hint="default"/>
      </w:rPr>
    </w:lvl>
    <w:lvl w:ilvl="7" w:tplc="0C090019" w:tentative="1">
      <w:start w:val="1"/>
      <w:numFmt w:val="bullet"/>
      <w:lvlText w:val="o"/>
      <w:lvlJc w:val="left"/>
      <w:pPr>
        <w:ind w:left="6840" w:hanging="360"/>
      </w:pPr>
      <w:rPr>
        <w:rFonts w:ascii="Courier New" w:hAnsi="Courier New" w:cs="Courier New" w:hint="default"/>
      </w:rPr>
    </w:lvl>
    <w:lvl w:ilvl="8" w:tplc="0C09001B" w:tentative="1">
      <w:start w:val="1"/>
      <w:numFmt w:val="bullet"/>
      <w:lvlText w:val=""/>
      <w:lvlJc w:val="left"/>
      <w:pPr>
        <w:ind w:left="7560" w:hanging="360"/>
      </w:pPr>
      <w:rPr>
        <w:rFonts w:ascii="Wingdings" w:hAnsi="Wingdings" w:hint="default"/>
      </w:rPr>
    </w:lvl>
  </w:abstractNum>
  <w:abstractNum w:abstractNumId="14" w15:restartNumberingAfterBreak="0">
    <w:nsid w:val="4E415459"/>
    <w:multiLevelType w:val="hybridMultilevel"/>
    <w:tmpl w:val="31CCAE0A"/>
    <w:lvl w:ilvl="0" w:tplc="034E13F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3E42BE"/>
    <w:multiLevelType w:val="hybridMultilevel"/>
    <w:tmpl w:val="AE6CDCA2"/>
    <w:lvl w:ilvl="0" w:tplc="80081548">
      <w:start w:val="1"/>
      <w:numFmt w:val="bullet"/>
      <w:pStyle w:val="ListParagraph"/>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101827"/>
    <w:multiLevelType w:val="multilevel"/>
    <w:tmpl w:val="3CACDCCC"/>
    <w:lvl w:ilvl="0">
      <w:start w:val="1"/>
      <w:numFmt w:val="bullet"/>
      <w:lvlRestart w:val="0"/>
      <w:pStyle w:val="BoxBullet"/>
      <w:lvlText w:val="•"/>
      <w:lvlJc w:val="left"/>
      <w:pPr>
        <w:tabs>
          <w:tab w:val="num" w:pos="566"/>
        </w:tabs>
        <w:ind w:left="566" w:hanging="566"/>
      </w:pPr>
      <w:rPr>
        <w:rFonts w:ascii="Times New Roman" w:hAnsi="Times New Roman"/>
        <w:b w:val="0"/>
        <w:i w:val="0"/>
        <w:sz w:val="20"/>
      </w:rPr>
    </w:lvl>
    <w:lvl w:ilvl="1">
      <w:start w:val="1"/>
      <w:numFmt w:val="bullet"/>
      <w:pStyle w:val="BoxBullet"/>
      <w:lvlText w:val="–"/>
      <w:lvlJc w:val="left"/>
      <w:pPr>
        <w:tabs>
          <w:tab w:val="num" w:pos="1134"/>
        </w:tabs>
        <w:ind w:left="1134" w:hanging="568"/>
      </w:pPr>
      <w:rPr>
        <w:b w:val="0"/>
        <w:i w:val="0"/>
      </w:rPr>
    </w:lvl>
    <w:lvl w:ilvl="2">
      <w:start w:val="1"/>
      <w:numFmt w:val="bulle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7" w15:restartNumberingAfterBreak="0">
    <w:nsid w:val="5C29507A"/>
    <w:multiLevelType w:val="hybridMultilevel"/>
    <w:tmpl w:val="3A5ADF8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C766611"/>
    <w:multiLevelType w:val="hybridMultilevel"/>
    <w:tmpl w:val="520C07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92180D"/>
    <w:multiLevelType w:val="hybridMultilevel"/>
    <w:tmpl w:val="9CAAAE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026C58"/>
    <w:multiLevelType w:val="hybridMultilevel"/>
    <w:tmpl w:val="C5B6523E"/>
    <w:lvl w:ilvl="0" w:tplc="6CE613CA">
      <w:start w:val="1"/>
      <w:numFmt w:val="bullet"/>
      <w:lvlText w:val=""/>
      <w:lvlJc w:val="left"/>
      <w:pPr>
        <w:ind w:left="1440" w:hanging="360"/>
      </w:pPr>
      <w:rPr>
        <w:rFonts w:ascii="Symbol" w:hAnsi="Symbol" w:hint="default"/>
        <w:color w:val="7F7F7F" w:themeColor="text1" w:themeTint="8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4242A5"/>
    <w:multiLevelType w:val="hybridMultilevel"/>
    <w:tmpl w:val="17822870"/>
    <w:lvl w:ilvl="0" w:tplc="977011F4">
      <w:start w:val="1"/>
      <w:numFmt w:val="bullet"/>
      <w:pStyle w:val="Bulletparagraphs"/>
      <w:lvlText w:val=""/>
      <w:lvlJc w:val="left"/>
      <w:pPr>
        <w:tabs>
          <w:tab w:val="num" w:pos="850"/>
        </w:tabs>
        <w:ind w:left="850" w:hanging="85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71014C"/>
    <w:multiLevelType w:val="hybridMultilevel"/>
    <w:tmpl w:val="EA66F2C4"/>
    <w:lvl w:ilvl="0" w:tplc="80081548">
      <w:start w:val="1"/>
      <w:numFmt w:val="bullet"/>
      <w:lvlText w:val=""/>
      <w:lvlJc w:val="left"/>
      <w:pPr>
        <w:ind w:left="720" w:hanging="360"/>
      </w:pPr>
      <w:rPr>
        <w:rFonts w:ascii="Symbol" w:hAnsi="Symbol" w:hint="default"/>
        <w:color w:val="A6A6A6"/>
      </w:rPr>
    </w:lvl>
    <w:lvl w:ilvl="1" w:tplc="39386808">
      <w:start w:val="1"/>
      <w:numFmt w:val="bullet"/>
      <w:lvlText w:val=""/>
      <w:lvlJc w:val="left"/>
      <w:pPr>
        <w:ind w:left="1440" w:hanging="360"/>
      </w:pPr>
      <w:rPr>
        <w:rFonts w:ascii="Symbol" w:hAnsi="Symbol" w:hint="default"/>
        <w:color w:val="A6A6A6" w:themeColor="background1" w:themeShade="A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BB7D0A"/>
    <w:multiLevelType w:val="multilevel"/>
    <w:tmpl w:val="44C0FCC0"/>
    <w:lvl w:ilvl="0">
      <w:start w:val="1"/>
      <w:numFmt w:val="upperLetter"/>
      <w:pStyle w:val="ChecklistNumbering"/>
      <w:lvlText w:val="%1."/>
      <w:lvlJc w:val="left"/>
      <w:pPr>
        <w:ind w:left="360" w:hanging="360"/>
      </w:pPr>
      <w:rPr>
        <w:rFonts w:ascii="Calibri" w:hAnsi="Calibri" w:hint="default"/>
        <w:b/>
        <w:bCs w:val="0"/>
        <w:i w:val="0"/>
        <w:iCs w:val="0"/>
        <w:caps w:val="0"/>
        <w:smallCaps w:val="0"/>
        <w:strike w:val="0"/>
        <w:dstrike w:val="0"/>
        <w:noProof w:val="0"/>
        <w:snapToGrid w:val="0"/>
        <w:vanish w:val="0"/>
        <w:color w:val="000000"/>
        <w:spacing w:val="0"/>
        <w:w w:val="0"/>
        <w:kern w:val="0"/>
        <w:position w:val="0"/>
        <w:sz w:val="18"/>
        <w:szCs w:val="0"/>
        <w:u w:val="none"/>
        <w:vertAlign w:val="baseline"/>
        <w:em w:val="none"/>
      </w:rPr>
    </w:lvl>
    <w:lvl w:ilvl="1">
      <w:start w:val="1"/>
      <w:numFmt w:val="decimal"/>
      <w:lvlText w:val="%2."/>
      <w:lvlJc w:val="left"/>
      <w:pPr>
        <w:ind w:left="142" w:hanging="142"/>
      </w:pPr>
      <w:rPr>
        <w:rFonts w:ascii="Calibri" w:hAnsi="Calibri" w:hint="default"/>
        <w:b w:val="0"/>
        <w:color w:val="auto"/>
        <w:sz w:val="18"/>
      </w:rPr>
    </w:lvl>
    <w:lvl w:ilvl="2">
      <w:start w:val="1"/>
      <w:numFmt w:val="decimal"/>
      <w:lvlText w:val="%2.%3."/>
      <w:lvlJc w:val="left"/>
      <w:pPr>
        <w:ind w:left="142" w:hanging="142"/>
      </w:pPr>
      <w:rPr>
        <w:rFonts w:ascii="Calibri" w:hAnsi="Calibri" w:hint="default"/>
        <w:color w:val="auto"/>
        <w:sz w:val="18"/>
      </w:rPr>
    </w:lvl>
    <w:lvl w:ilvl="3">
      <w:start w:val="1"/>
      <w:numFmt w:val="decimal"/>
      <w:lvlText w:val="%2.%3.%4."/>
      <w:lvlJc w:val="left"/>
      <w:pPr>
        <w:ind w:left="142" w:hanging="142"/>
      </w:pPr>
      <w:rPr>
        <w:rFonts w:ascii="Calibri" w:hAnsi="Calibri" w:hint="default"/>
        <w:color w:val="auto"/>
        <w:sz w:val="18"/>
      </w:rPr>
    </w:lvl>
    <w:lvl w:ilvl="4">
      <w:start w:val="1"/>
      <w:numFmt w:val="decimal"/>
      <w:lvlText w:val="%2.%3.%4.%5."/>
      <w:lvlJc w:val="left"/>
      <w:pPr>
        <w:ind w:left="142" w:hanging="142"/>
      </w:pPr>
      <w:rPr>
        <w:rFonts w:ascii="Calibri" w:hAnsi="Calibri" w:hint="default"/>
        <w:color w:val="auto"/>
        <w:sz w:val="18"/>
      </w:rPr>
    </w:lvl>
    <w:lvl w:ilvl="5">
      <w:start w:val="1"/>
      <w:numFmt w:val="decimal"/>
      <w:lvlText w:val="%2.%3.%4.%5.%6."/>
      <w:lvlJc w:val="left"/>
      <w:pPr>
        <w:ind w:left="142" w:hanging="142"/>
      </w:pPr>
      <w:rPr>
        <w:rFonts w:ascii="Calibri" w:hAnsi="Calibri" w:hint="default"/>
        <w:color w:val="auto"/>
        <w:sz w:val="18"/>
      </w:rPr>
    </w:lvl>
    <w:lvl w:ilvl="6">
      <w:start w:val="1"/>
      <w:numFmt w:val="decimal"/>
      <w:lvlText w:val="%2.%3.%4.%5.%6.%7."/>
      <w:lvlJc w:val="left"/>
      <w:pPr>
        <w:ind w:left="142" w:hanging="142"/>
      </w:pPr>
      <w:rPr>
        <w:rFonts w:ascii="Calibri" w:hAnsi="Calibri" w:hint="default"/>
        <w:color w:val="auto"/>
        <w:sz w:val="18"/>
      </w:rPr>
    </w:lvl>
    <w:lvl w:ilvl="7">
      <w:start w:val="1"/>
      <w:numFmt w:val="decimal"/>
      <w:lvlText w:val="%2.%3.%4.%5.%6.%7.%8."/>
      <w:lvlJc w:val="left"/>
      <w:pPr>
        <w:ind w:left="142" w:hanging="142"/>
      </w:pPr>
      <w:rPr>
        <w:rFonts w:ascii="Calibri" w:hAnsi="Calibri" w:hint="default"/>
        <w:b w:val="0"/>
        <w:i w:val="0"/>
        <w:color w:val="auto"/>
        <w:sz w:val="18"/>
      </w:rPr>
    </w:lvl>
    <w:lvl w:ilvl="8">
      <w:start w:val="1"/>
      <w:numFmt w:val="decimal"/>
      <w:lvlText w:val="%2.%3.%4.%5.%6.%7.%8.%9."/>
      <w:lvlJc w:val="left"/>
      <w:pPr>
        <w:ind w:left="142" w:hanging="142"/>
      </w:pPr>
      <w:rPr>
        <w:rFonts w:ascii="Calibri" w:hAnsi="Calibri" w:hint="default"/>
        <w:b/>
        <w:i w:val="0"/>
        <w:color w:val="auto"/>
        <w:sz w:val="18"/>
      </w:rPr>
    </w:lvl>
  </w:abstractNum>
  <w:num w:numId="1">
    <w:abstractNumId w:val="10"/>
  </w:num>
  <w:num w:numId="2">
    <w:abstractNumId w:val="5"/>
  </w:num>
  <w:num w:numId="3">
    <w:abstractNumId w:val="16"/>
  </w:num>
  <w:num w:numId="4">
    <w:abstractNumId w:val="23"/>
  </w:num>
  <w:num w:numId="5">
    <w:abstractNumId w:val="8"/>
  </w:num>
  <w:num w:numId="6">
    <w:abstractNumId w:val="2"/>
  </w:num>
  <w:num w:numId="7">
    <w:abstractNumId w:val="21"/>
  </w:num>
  <w:num w:numId="8">
    <w:abstractNumId w:val="15"/>
  </w:num>
  <w:num w:numId="9">
    <w:abstractNumId w:val="11"/>
  </w:num>
  <w:num w:numId="10">
    <w:abstractNumId w:val="11"/>
    <w:lvlOverride w:ilvl="1">
      <w:startOverride w:val="20"/>
    </w:lvlOverride>
  </w:num>
  <w:num w:numId="11">
    <w:abstractNumId w:val="11"/>
    <w:lvlOverride w:ilvl="1">
      <w:startOverride w:val="25"/>
    </w:lvlOverride>
  </w:num>
  <w:num w:numId="12">
    <w:abstractNumId w:val="11"/>
    <w:lvlOverride w:ilvl="1">
      <w:startOverride w:val="28"/>
    </w:lvlOverride>
  </w:num>
  <w:num w:numId="13">
    <w:abstractNumId w:val="11"/>
    <w:lvlOverride w:ilvl="1">
      <w:startOverride w:val="32"/>
    </w:lvlOverride>
  </w:num>
  <w:num w:numId="14">
    <w:abstractNumId w:val="11"/>
    <w:lvlOverride w:ilvl="1">
      <w:startOverride w:val="36"/>
    </w:lvlOverride>
  </w:num>
  <w:num w:numId="15">
    <w:abstractNumId w:val="11"/>
    <w:lvlOverride w:ilvl="1">
      <w:startOverride w:val="38"/>
    </w:lvlOverride>
  </w:num>
  <w:num w:numId="16">
    <w:abstractNumId w:val="11"/>
    <w:lvlOverride w:ilvl="1">
      <w:startOverride w:val="41"/>
    </w:lvlOverride>
  </w:num>
  <w:num w:numId="17">
    <w:abstractNumId w:val="11"/>
    <w:lvlOverride w:ilvl="1">
      <w:startOverride w:val="43"/>
    </w:lvlOverride>
  </w:num>
  <w:num w:numId="18">
    <w:abstractNumId w:val="11"/>
    <w:lvlOverride w:ilvl="1">
      <w:startOverride w:val="46"/>
    </w:lvlOverride>
  </w:num>
  <w:num w:numId="19">
    <w:abstractNumId w:val="11"/>
    <w:lvlOverride w:ilvl="1">
      <w:startOverride w:val="48"/>
    </w:lvlOverride>
  </w:num>
  <w:num w:numId="20">
    <w:abstractNumId w:val="11"/>
    <w:lvlOverride w:ilvl="1">
      <w:startOverride w:val="51"/>
    </w:lvlOverride>
  </w:num>
  <w:num w:numId="21">
    <w:abstractNumId w:val="11"/>
    <w:lvlOverride w:ilvl="1">
      <w:startOverride w:val="55"/>
    </w:lvlOverride>
  </w:num>
  <w:num w:numId="22">
    <w:abstractNumId w:val="11"/>
    <w:lvlOverride w:ilvl="1">
      <w:startOverride w:val="58"/>
    </w:lvlOverride>
  </w:num>
  <w:num w:numId="23">
    <w:abstractNumId w:val="11"/>
    <w:lvlOverride w:ilvl="1">
      <w:startOverride w:val="62"/>
    </w:lvlOverride>
  </w:num>
  <w:num w:numId="24">
    <w:abstractNumId w:val="11"/>
    <w:lvlOverride w:ilvl="1">
      <w:startOverride w:val="65"/>
    </w:lvlOverride>
  </w:num>
  <w:num w:numId="25">
    <w:abstractNumId w:val="11"/>
    <w:lvlOverride w:ilvl="1">
      <w:startOverride w:val="66"/>
    </w:lvlOverride>
  </w:num>
  <w:num w:numId="26">
    <w:abstractNumId w:val="11"/>
    <w:lvlOverride w:ilvl="1">
      <w:startOverride w:val="68"/>
    </w:lvlOverride>
  </w:num>
  <w:num w:numId="27">
    <w:abstractNumId w:val="11"/>
    <w:lvlOverride w:ilvl="1">
      <w:startOverride w:val="73"/>
    </w:lvlOverride>
  </w:num>
  <w:num w:numId="28">
    <w:abstractNumId w:val="11"/>
    <w:lvlOverride w:ilvl="1">
      <w:startOverride w:val="74"/>
    </w:lvlOverride>
  </w:num>
  <w:num w:numId="29">
    <w:abstractNumId w:val="11"/>
    <w:lvlOverride w:ilvl="1">
      <w:startOverride w:val="77"/>
    </w:lvlOverride>
  </w:num>
  <w:num w:numId="30">
    <w:abstractNumId w:val="7"/>
  </w:num>
  <w:num w:numId="31">
    <w:abstractNumId w:val="17"/>
  </w:num>
  <w:num w:numId="32">
    <w:abstractNumId w:val="19"/>
  </w:num>
  <w:num w:numId="33">
    <w:abstractNumId w:val="6"/>
  </w:num>
  <w:num w:numId="34">
    <w:abstractNumId w:val="9"/>
  </w:num>
  <w:num w:numId="35">
    <w:abstractNumId w:val="0"/>
  </w:num>
  <w:num w:numId="36">
    <w:abstractNumId w:val="13"/>
  </w:num>
  <w:num w:numId="37">
    <w:abstractNumId w:val="14"/>
  </w:num>
  <w:num w:numId="38">
    <w:abstractNumId w:val="12"/>
  </w:num>
  <w:num w:numId="39">
    <w:abstractNumId w:val="18"/>
  </w:num>
  <w:num w:numId="40">
    <w:abstractNumId w:val="1"/>
  </w:num>
  <w:num w:numId="41">
    <w:abstractNumId w:val="4"/>
  </w:num>
  <w:num w:numId="42">
    <w:abstractNumId w:val="20"/>
  </w:num>
  <w:num w:numId="43">
    <w:abstractNumId w:val="3"/>
  </w:num>
  <w:num w:numId="44">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42F"/>
    <w:rsid w:val="00000D78"/>
    <w:rsid w:val="000026FA"/>
    <w:rsid w:val="00002863"/>
    <w:rsid w:val="00003AB7"/>
    <w:rsid w:val="000053CD"/>
    <w:rsid w:val="0000692D"/>
    <w:rsid w:val="00007E30"/>
    <w:rsid w:val="000147A7"/>
    <w:rsid w:val="00014831"/>
    <w:rsid w:val="00015E5E"/>
    <w:rsid w:val="000161EA"/>
    <w:rsid w:val="0002090A"/>
    <w:rsid w:val="00023C18"/>
    <w:rsid w:val="0002402C"/>
    <w:rsid w:val="00024962"/>
    <w:rsid w:val="000266C4"/>
    <w:rsid w:val="000276BE"/>
    <w:rsid w:val="0003024D"/>
    <w:rsid w:val="00032E1B"/>
    <w:rsid w:val="00036023"/>
    <w:rsid w:val="000375E4"/>
    <w:rsid w:val="00040EFE"/>
    <w:rsid w:val="00042D40"/>
    <w:rsid w:val="00042E06"/>
    <w:rsid w:val="00044E06"/>
    <w:rsid w:val="00046254"/>
    <w:rsid w:val="00046280"/>
    <w:rsid w:val="000473C6"/>
    <w:rsid w:val="00050570"/>
    <w:rsid w:val="0005086D"/>
    <w:rsid w:val="00052671"/>
    <w:rsid w:val="00055315"/>
    <w:rsid w:val="00056A20"/>
    <w:rsid w:val="00063855"/>
    <w:rsid w:val="00070DA3"/>
    <w:rsid w:val="00071C5E"/>
    <w:rsid w:val="000751F9"/>
    <w:rsid w:val="00076830"/>
    <w:rsid w:val="00076F0C"/>
    <w:rsid w:val="000773EC"/>
    <w:rsid w:val="00080356"/>
    <w:rsid w:val="00080B0F"/>
    <w:rsid w:val="00080CCE"/>
    <w:rsid w:val="000837AB"/>
    <w:rsid w:val="0008392E"/>
    <w:rsid w:val="000840EF"/>
    <w:rsid w:val="0008517D"/>
    <w:rsid w:val="00085EA3"/>
    <w:rsid w:val="000871C0"/>
    <w:rsid w:val="00091D23"/>
    <w:rsid w:val="00092688"/>
    <w:rsid w:val="00093ACC"/>
    <w:rsid w:val="00094ED0"/>
    <w:rsid w:val="00096F9D"/>
    <w:rsid w:val="000A29DB"/>
    <w:rsid w:val="000A3482"/>
    <w:rsid w:val="000A57FC"/>
    <w:rsid w:val="000A7001"/>
    <w:rsid w:val="000A7458"/>
    <w:rsid w:val="000A770D"/>
    <w:rsid w:val="000A786F"/>
    <w:rsid w:val="000A7B65"/>
    <w:rsid w:val="000B312F"/>
    <w:rsid w:val="000B3348"/>
    <w:rsid w:val="000B3C4A"/>
    <w:rsid w:val="000B5D2B"/>
    <w:rsid w:val="000B5F06"/>
    <w:rsid w:val="000C3E05"/>
    <w:rsid w:val="000C4AFB"/>
    <w:rsid w:val="000C5428"/>
    <w:rsid w:val="000C6738"/>
    <w:rsid w:val="000C7CAD"/>
    <w:rsid w:val="000D0AE5"/>
    <w:rsid w:val="000D238B"/>
    <w:rsid w:val="000D31D6"/>
    <w:rsid w:val="000D3F6B"/>
    <w:rsid w:val="000D40FB"/>
    <w:rsid w:val="000D5693"/>
    <w:rsid w:val="000D5C4F"/>
    <w:rsid w:val="000D7A13"/>
    <w:rsid w:val="000E15A9"/>
    <w:rsid w:val="000E64A7"/>
    <w:rsid w:val="000E6662"/>
    <w:rsid w:val="000E6CDE"/>
    <w:rsid w:val="000E76B4"/>
    <w:rsid w:val="000F0688"/>
    <w:rsid w:val="000F2101"/>
    <w:rsid w:val="000F2DF8"/>
    <w:rsid w:val="000F345A"/>
    <w:rsid w:val="000F55F8"/>
    <w:rsid w:val="000F6323"/>
    <w:rsid w:val="00100875"/>
    <w:rsid w:val="001023B0"/>
    <w:rsid w:val="00102782"/>
    <w:rsid w:val="00102DF4"/>
    <w:rsid w:val="00103B5A"/>
    <w:rsid w:val="00104229"/>
    <w:rsid w:val="001049AA"/>
    <w:rsid w:val="00106658"/>
    <w:rsid w:val="0010673C"/>
    <w:rsid w:val="00107DAF"/>
    <w:rsid w:val="0011128A"/>
    <w:rsid w:val="001116B7"/>
    <w:rsid w:val="00111AB0"/>
    <w:rsid w:val="00111B52"/>
    <w:rsid w:val="00111D5F"/>
    <w:rsid w:val="001173E7"/>
    <w:rsid w:val="00117D92"/>
    <w:rsid w:val="001203E5"/>
    <w:rsid w:val="0012098B"/>
    <w:rsid w:val="00123227"/>
    <w:rsid w:val="001260FB"/>
    <w:rsid w:val="00126976"/>
    <w:rsid w:val="00130D05"/>
    <w:rsid w:val="001358AE"/>
    <w:rsid w:val="00137F99"/>
    <w:rsid w:val="00140DFC"/>
    <w:rsid w:val="001410BA"/>
    <w:rsid w:val="00143379"/>
    <w:rsid w:val="00144140"/>
    <w:rsid w:val="001442C8"/>
    <w:rsid w:val="001446FD"/>
    <w:rsid w:val="001449E9"/>
    <w:rsid w:val="00145C53"/>
    <w:rsid w:val="00147978"/>
    <w:rsid w:val="0015037C"/>
    <w:rsid w:val="00150B94"/>
    <w:rsid w:val="00151B73"/>
    <w:rsid w:val="00152217"/>
    <w:rsid w:val="00153A46"/>
    <w:rsid w:val="0015431B"/>
    <w:rsid w:val="001559A2"/>
    <w:rsid w:val="001559E4"/>
    <w:rsid w:val="00155E1B"/>
    <w:rsid w:val="00157F8F"/>
    <w:rsid w:val="001603D8"/>
    <w:rsid w:val="0016087B"/>
    <w:rsid w:val="00162DEE"/>
    <w:rsid w:val="00162E18"/>
    <w:rsid w:val="001645DF"/>
    <w:rsid w:val="00164EEE"/>
    <w:rsid w:val="00166E98"/>
    <w:rsid w:val="00167E88"/>
    <w:rsid w:val="00167FDF"/>
    <w:rsid w:val="00170174"/>
    <w:rsid w:val="00173308"/>
    <w:rsid w:val="00173345"/>
    <w:rsid w:val="00173C3F"/>
    <w:rsid w:val="00175982"/>
    <w:rsid w:val="00183B52"/>
    <w:rsid w:val="00184204"/>
    <w:rsid w:val="00185A4E"/>
    <w:rsid w:val="00186716"/>
    <w:rsid w:val="001950CA"/>
    <w:rsid w:val="0019724C"/>
    <w:rsid w:val="001A0B01"/>
    <w:rsid w:val="001A18D2"/>
    <w:rsid w:val="001A35D5"/>
    <w:rsid w:val="001A5FE0"/>
    <w:rsid w:val="001B044E"/>
    <w:rsid w:val="001B1918"/>
    <w:rsid w:val="001B237A"/>
    <w:rsid w:val="001B337C"/>
    <w:rsid w:val="001B5237"/>
    <w:rsid w:val="001B6E1C"/>
    <w:rsid w:val="001C1BF1"/>
    <w:rsid w:val="001C2576"/>
    <w:rsid w:val="001C27AC"/>
    <w:rsid w:val="001C2CFF"/>
    <w:rsid w:val="001C3D97"/>
    <w:rsid w:val="001C484D"/>
    <w:rsid w:val="001C5D48"/>
    <w:rsid w:val="001C6378"/>
    <w:rsid w:val="001D1024"/>
    <w:rsid w:val="001D1A29"/>
    <w:rsid w:val="001D4A9C"/>
    <w:rsid w:val="001D6751"/>
    <w:rsid w:val="001D72D8"/>
    <w:rsid w:val="001E180C"/>
    <w:rsid w:val="001E1F50"/>
    <w:rsid w:val="001E3360"/>
    <w:rsid w:val="001E40AB"/>
    <w:rsid w:val="001E5D27"/>
    <w:rsid w:val="001F0C78"/>
    <w:rsid w:val="001F1DD2"/>
    <w:rsid w:val="001F4A27"/>
    <w:rsid w:val="001F4D72"/>
    <w:rsid w:val="001F58B0"/>
    <w:rsid w:val="001F7294"/>
    <w:rsid w:val="001F7F3F"/>
    <w:rsid w:val="0020010D"/>
    <w:rsid w:val="002001C6"/>
    <w:rsid w:val="002020DF"/>
    <w:rsid w:val="00202F12"/>
    <w:rsid w:val="00204DB8"/>
    <w:rsid w:val="002059ED"/>
    <w:rsid w:val="00205D50"/>
    <w:rsid w:val="00205F8C"/>
    <w:rsid w:val="00206021"/>
    <w:rsid w:val="0020608F"/>
    <w:rsid w:val="0020658D"/>
    <w:rsid w:val="00207A75"/>
    <w:rsid w:val="00211E30"/>
    <w:rsid w:val="00214EA7"/>
    <w:rsid w:val="002157AA"/>
    <w:rsid w:val="002164C0"/>
    <w:rsid w:val="00216778"/>
    <w:rsid w:val="00217015"/>
    <w:rsid w:val="0022003D"/>
    <w:rsid w:val="002219C5"/>
    <w:rsid w:val="00221FCF"/>
    <w:rsid w:val="00222839"/>
    <w:rsid w:val="00222AD0"/>
    <w:rsid w:val="0022489F"/>
    <w:rsid w:val="0022510B"/>
    <w:rsid w:val="00226149"/>
    <w:rsid w:val="002277E1"/>
    <w:rsid w:val="00227950"/>
    <w:rsid w:val="00230022"/>
    <w:rsid w:val="00230AE6"/>
    <w:rsid w:val="0023217B"/>
    <w:rsid w:val="0023345F"/>
    <w:rsid w:val="002336B2"/>
    <w:rsid w:val="00233C9B"/>
    <w:rsid w:val="00234A44"/>
    <w:rsid w:val="0023640D"/>
    <w:rsid w:val="00236B9C"/>
    <w:rsid w:val="00236DDA"/>
    <w:rsid w:val="002414F9"/>
    <w:rsid w:val="00241504"/>
    <w:rsid w:val="002415C6"/>
    <w:rsid w:val="002418FE"/>
    <w:rsid w:val="002427D3"/>
    <w:rsid w:val="002438D5"/>
    <w:rsid w:val="00243B6D"/>
    <w:rsid w:val="00245E97"/>
    <w:rsid w:val="002460B2"/>
    <w:rsid w:val="0024705B"/>
    <w:rsid w:val="002470C4"/>
    <w:rsid w:val="00247A5B"/>
    <w:rsid w:val="00250500"/>
    <w:rsid w:val="00251B1A"/>
    <w:rsid w:val="00253628"/>
    <w:rsid w:val="00253F13"/>
    <w:rsid w:val="00254025"/>
    <w:rsid w:val="00257DBE"/>
    <w:rsid w:val="0026002E"/>
    <w:rsid w:val="0026102E"/>
    <w:rsid w:val="00261C7C"/>
    <w:rsid w:val="0026286C"/>
    <w:rsid w:val="00262E46"/>
    <w:rsid w:val="00270632"/>
    <w:rsid w:val="00271AD0"/>
    <w:rsid w:val="00272BA4"/>
    <w:rsid w:val="00274C37"/>
    <w:rsid w:val="00276C6B"/>
    <w:rsid w:val="00280969"/>
    <w:rsid w:val="00280D10"/>
    <w:rsid w:val="00281FBA"/>
    <w:rsid w:val="00282342"/>
    <w:rsid w:val="00283511"/>
    <w:rsid w:val="0028717A"/>
    <w:rsid w:val="00287442"/>
    <w:rsid w:val="0029095A"/>
    <w:rsid w:val="002915CB"/>
    <w:rsid w:val="00294D74"/>
    <w:rsid w:val="002A022C"/>
    <w:rsid w:val="002A0659"/>
    <w:rsid w:val="002A3774"/>
    <w:rsid w:val="002A53B3"/>
    <w:rsid w:val="002A72EB"/>
    <w:rsid w:val="002B0C88"/>
    <w:rsid w:val="002B0FF6"/>
    <w:rsid w:val="002B2685"/>
    <w:rsid w:val="002B2C64"/>
    <w:rsid w:val="002B3141"/>
    <w:rsid w:val="002B4156"/>
    <w:rsid w:val="002B4262"/>
    <w:rsid w:val="002B443E"/>
    <w:rsid w:val="002B5E26"/>
    <w:rsid w:val="002B7B15"/>
    <w:rsid w:val="002C1051"/>
    <w:rsid w:val="002C1A24"/>
    <w:rsid w:val="002C20D2"/>
    <w:rsid w:val="002C2293"/>
    <w:rsid w:val="002C483F"/>
    <w:rsid w:val="002C5A7C"/>
    <w:rsid w:val="002C5DD5"/>
    <w:rsid w:val="002C61DB"/>
    <w:rsid w:val="002C6ED4"/>
    <w:rsid w:val="002D0ECD"/>
    <w:rsid w:val="002D1333"/>
    <w:rsid w:val="002D4CE6"/>
    <w:rsid w:val="002D5BF3"/>
    <w:rsid w:val="002D6B94"/>
    <w:rsid w:val="002E01A5"/>
    <w:rsid w:val="002E3CA6"/>
    <w:rsid w:val="002E4358"/>
    <w:rsid w:val="002E59D4"/>
    <w:rsid w:val="002E5DDF"/>
    <w:rsid w:val="002E6317"/>
    <w:rsid w:val="002E6C59"/>
    <w:rsid w:val="002F03A6"/>
    <w:rsid w:val="002F0945"/>
    <w:rsid w:val="002F2A5B"/>
    <w:rsid w:val="002F51D3"/>
    <w:rsid w:val="002F74E5"/>
    <w:rsid w:val="00300C4C"/>
    <w:rsid w:val="0030116D"/>
    <w:rsid w:val="00301814"/>
    <w:rsid w:val="00307AB7"/>
    <w:rsid w:val="00307EBC"/>
    <w:rsid w:val="00312B66"/>
    <w:rsid w:val="00312B9A"/>
    <w:rsid w:val="0031684E"/>
    <w:rsid w:val="00317229"/>
    <w:rsid w:val="00320FE7"/>
    <w:rsid w:val="003226CA"/>
    <w:rsid w:val="00323FDF"/>
    <w:rsid w:val="00327AB8"/>
    <w:rsid w:val="003304EA"/>
    <w:rsid w:val="00331320"/>
    <w:rsid w:val="00331425"/>
    <w:rsid w:val="00331525"/>
    <w:rsid w:val="0033473A"/>
    <w:rsid w:val="00335A37"/>
    <w:rsid w:val="003418FA"/>
    <w:rsid w:val="00343FEB"/>
    <w:rsid w:val="00344474"/>
    <w:rsid w:val="00344D74"/>
    <w:rsid w:val="00345A89"/>
    <w:rsid w:val="00347E21"/>
    <w:rsid w:val="00351C74"/>
    <w:rsid w:val="00351E54"/>
    <w:rsid w:val="00353266"/>
    <w:rsid w:val="00353841"/>
    <w:rsid w:val="0035467A"/>
    <w:rsid w:val="00355936"/>
    <w:rsid w:val="00360594"/>
    <w:rsid w:val="00362279"/>
    <w:rsid w:val="00362A79"/>
    <w:rsid w:val="003648D9"/>
    <w:rsid w:val="00364F2C"/>
    <w:rsid w:val="00366080"/>
    <w:rsid w:val="0036682A"/>
    <w:rsid w:val="003671AA"/>
    <w:rsid w:val="00371D99"/>
    <w:rsid w:val="003721A9"/>
    <w:rsid w:val="003722DB"/>
    <w:rsid w:val="00373D73"/>
    <w:rsid w:val="003764D4"/>
    <w:rsid w:val="003769A7"/>
    <w:rsid w:val="00376A85"/>
    <w:rsid w:val="0038498A"/>
    <w:rsid w:val="00385F4F"/>
    <w:rsid w:val="00386D28"/>
    <w:rsid w:val="003915F2"/>
    <w:rsid w:val="00392140"/>
    <w:rsid w:val="00392165"/>
    <w:rsid w:val="003938F7"/>
    <w:rsid w:val="00393974"/>
    <w:rsid w:val="00396019"/>
    <w:rsid w:val="00396ECB"/>
    <w:rsid w:val="003A07A9"/>
    <w:rsid w:val="003A0A57"/>
    <w:rsid w:val="003A170C"/>
    <w:rsid w:val="003A3D97"/>
    <w:rsid w:val="003A3EFF"/>
    <w:rsid w:val="003A551C"/>
    <w:rsid w:val="003A7634"/>
    <w:rsid w:val="003A7A97"/>
    <w:rsid w:val="003B0208"/>
    <w:rsid w:val="003B060D"/>
    <w:rsid w:val="003B0E51"/>
    <w:rsid w:val="003B1B9E"/>
    <w:rsid w:val="003B3A15"/>
    <w:rsid w:val="003B4A8C"/>
    <w:rsid w:val="003B6349"/>
    <w:rsid w:val="003C0D0A"/>
    <w:rsid w:val="003C285F"/>
    <w:rsid w:val="003C3C39"/>
    <w:rsid w:val="003C4951"/>
    <w:rsid w:val="003C5442"/>
    <w:rsid w:val="003C54F9"/>
    <w:rsid w:val="003C7639"/>
    <w:rsid w:val="003C7DBB"/>
    <w:rsid w:val="003D09B2"/>
    <w:rsid w:val="003D0BF4"/>
    <w:rsid w:val="003D187F"/>
    <w:rsid w:val="003D2CBC"/>
    <w:rsid w:val="003D47E8"/>
    <w:rsid w:val="003E4F2C"/>
    <w:rsid w:val="003E4F7B"/>
    <w:rsid w:val="003E4FDB"/>
    <w:rsid w:val="003E58C0"/>
    <w:rsid w:val="003E63E1"/>
    <w:rsid w:val="003E6B96"/>
    <w:rsid w:val="003E7DBD"/>
    <w:rsid w:val="003F06F6"/>
    <w:rsid w:val="003F26D8"/>
    <w:rsid w:val="003F54CA"/>
    <w:rsid w:val="003F78B2"/>
    <w:rsid w:val="00400568"/>
    <w:rsid w:val="004007FC"/>
    <w:rsid w:val="00400D7C"/>
    <w:rsid w:val="004026BF"/>
    <w:rsid w:val="00402B29"/>
    <w:rsid w:val="00402C9E"/>
    <w:rsid w:val="004048E3"/>
    <w:rsid w:val="00404DF9"/>
    <w:rsid w:val="00405613"/>
    <w:rsid w:val="00405A80"/>
    <w:rsid w:val="0040738B"/>
    <w:rsid w:val="00407FE8"/>
    <w:rsid w:val="00410AF1"/>
    <w:rsid w:val="00412CEB"/>
    <w:rsid w:val="004141FD"/>
    <w:rsid w:val="004142E4"/>
    <w:rsid w:val="0041549F"/>
    <w:rsid w:val="00415686"/>
    <w:rsid w:val="00415B90"/>
    <w:rsid w:val="00415EA0"/>
    <w:rsid w:val="004177FD"/>
    <w:rsid w:val="00417F32"/>
    <w:rsid w:val="0042218C"/>
    <w:rsid w:val="00423C3F"/>
    <w:rsid w:val="00426581"/>
    <w:rsid w:val="00426BBC"/>
    <w:rsid w:val="00430398"/>
    <w:rsid w:val="004322CE"/>
    <w:rsid w:val="004339D9"/>
    <w:rsid w:val="004343D6"/>
    <w:rsid w:val="0043525E"/>
    <w:rsid w:val="00435365"/>
    <w:rsid w:val="00437B2F"/>
    <w:rsid w:val="004402B6"/>
    <w:rsid w:val="0044797D"/>
    <w:rsid w:val="004505AF"/>
    <w:rsid w:val="00450D47"/>
    <w:rsid w:val="0045199E"/>
    <w:rsid w:val="004540B1"/>
    <w:rsid w:val="004546B6"/>
    <w:rsid w:val="00455A37"/>
    <w:rsid w:val="00456709"/>
    <w:rsid w:val="00456E0F"/>
    <w:rsid w:val="004626A5"/>
    <w:rsid w:val="0046346E"/>
    <w:rsid w:val="004635AB"/>
    <w:rsid w:val="0046417F"/>
    <w:rsid w:val="00465E0E"/>
    <w:rsid w:val="00470B9A"/>
    <w:rsid w:val="00472973"/>
    <w:rsid w:val="004742A5"/>
    <w:rsid w:val="00474430"/>
    <w:rsid w:val="00474627"/>
    <w:rsid w:val="0047544B"/>
    <w:rsid w:val="00475825"/>
    <w:rsid w:val="004804C8"/>
    <w:rsid w:val="004815A5"/>
    <w:rsid w:val="00485E41"/>
    <w:rsid w:val="004902C6"/>
    <w:rsid w:val="00492610"/>
    <w:rsid w:val="00494F0D"/>
    <w:rsid w:val="004A1952"/>
    <w:rsid w:val="004A22A6"/>
    <w:rsid w:val="004A26CF"/>
    <w:rsid w:val="004A3388"/>
    <w:rsid w:val="004A4AB8"/>
    <w:rsid w:val="004A5BF7"/>
    <w:rsid w:val="004A63C8"/>
    <w:rsid w:val="004A646E"/>
    <w:rsid w:val="004A6E6A"/>
    <w:rsid w:val="004A721E"/>
    <w:rsid w:val="004B03D3"/>
    <w:rsid w:val="004B3BFD"/>
    <w:rsid w:val="004B4075"/>
    <w:rsid w:val="004B5E18"/>
    <w:rsid w:val="004B6A97"/>
    <w:rsid w:val="004C0009"/>
    <w:rsid w:val="004C0F86"/>
    <w:rsid w:val="004C1F17"/>
    <w:rsid w:val="004C29E1"/>
    <w:rsid w:val="004C2AB4"/>
    <w:rsid w:val="004C4B97"/>
    <w:rsid w:val="004C5231"/>
    <w:rsid w:val="004C77DC"/>
    <w:rsid w:val="004C7F77"/>
    <w:rsid w:val="004D0841"/>
    <w:rsid w:val="004D22EB"/>
    <w:rsid w:val="004D2D35"/>
    <w:rsid w:val="004D3727"/>
    <w:rsid w:val="004D429A"/>
    <w:rsid w:val="004D496A"/>
    <w:rsid w:val="004D6CD2"/>
    <w:rsid w:val="004D70CC"/>
    <w:rsid w:val="004E0030"/>
    <w:rsid w:val="004E21C8"/>
    <w:rsid w:val="004E225E"/>
    <w:rsid w:val="004E4180"/>
    <w:rsid w:val="004E485F"/>
    <w:rsid w:val="004E4A96"/>
    <w:rsid w:val="004E53E5"/>
    <w:rsid w:val="004E693C"/>
    <w:rsid w:val="004E7ECE"/>
    <w:rsid w:val="004F1EA2"/>
    <w:rsid w:val="004F4C96"/>
    <w:rsid w:val="004F5E28"/>
    <w:rsid w:val="004F658C"/>
    <w:rsid w:val="004F6D1A"/>
    <w:rsid w:val="004F6EED"/>
    <w:rsid w:val="005026EB"/>
    <w:rsid w:val="00502756"/>
    <w:rsid w:val="00502BE2"/>
    <w:rsid w:val="00503A81"/>
    <w:rsid w:val="005041F6"/>
    <w:rsid w:val="005064E5"/>
    <w:rsid w:val="005105CD"/>
    <w:rsid w:val="00510BBE"/>
    <w:rsid w:val="00511EE0"/>
    <w:rsid w:val="005122DC"/>
    <w:rsid w:val="005127E4"/>
    <w:rsid w:val="00513E54"/>
    <w:rsid w:val="00514871"/>
    <w:rsid w:val="0051497F"/>
    <w:rsid w:val="00516DC3"/>
    <w:rsid w:val="00520934"/>
    <w:rsid w:val="00520A23"/>
    <w:rsid w:val="00521D0E"/>
    <w:rsid w:val="005222B1"/>
    <w:rsid w:val="00522A27"/>
    <w:rsid w:val="00523B7A"/>
    <w:rsid w:val="005244A0"/>
    <w:rsid w:val="00524AF4"/>
    <w:rsid w:val="0052541A"/>
    <w:rsid w:val="005273DB"/>
    <w:rsid w:val="005307E6"/>
    <w:rsid w:val="00532397"/>
    <w:rsid w:val="00533AC1"/>
    <w:rsid w:val="00535D0A"/>
    <w:rsid w:val="0054259F"/>
    <w:rsid w:val="00546719"/>
    <w:rsid w:val="00550CE2"/>
    <w:rsid w:val="00553B39"/>
    <w:rsid w:val="00555221"/>
    <w:rsid w:val="00557549"/>
    <w:rsid w:val="005619D0"/>
    <w:rsid w:val="00561E05"/>
    <w:rsid w:val="005643D5"/>
    <w:rsid w:val="00565778"/>
    <w:rsid w:val="00565FFD"/>
    <w:rsid w:val="00566AE8"/>
    <w:rsid w:val="00566B2D"/>
    <w:rsid w:val="005700CF"/>
    <w:rsid w:val="00570A96"/>
    <w:rsid w:val="00572FF2"/>
    <w:rsid w:val="00573DFF"/>
    <w:rsid w:val="00575A9C"/>
    <w:rsid w:val="00577292"/>
    <w:rsid w:val="00582FF0"/>
    <w:rsid w:val="00583CDE"/>
    <w:rsid w:val="0058476A"/>
    <w:rsid w:val="005852DE"/>
    <w:rsid w:val="005903A7"/>
    <w:rsid w:val="0059096D"/>
    <w:rsid w:val="00593B99"/>
    <w:rsid w:val="005A0A9A"/>
    <w:rsid w:val="005A0B6B"/>
    <w:rsid w:val="005A1635"/>
    <w:rsid w:val="005A177F"/>
    <w:rsid w:val="005A1E4B"/>
    <w:rsid w:val="005A389D"/>
    <w:rsid w:val="005A48A3"/>
    <w:rsid w:val="005A5C07"/>
    <w:rsid w:val="005B0852"/>
    <w:rsid w:val="005B1C50"/>
    <w:rsid w:val="005B20FA"/>
    <w:rsid w:val="005B4B06"/>
    <w:rsid w:val="005B5D13"/>
    <w:rsid w:val="005C0F5D"/>
    <w:rsid w:val="005C1445"/>
    <w:rsid w:val="005C2A50"/>
    <w:rsid w:val="005C2BD5"/>
    <w:rsid w:val="005C4C91"/>
    <w:rsid w:val="005C64F7"/>
    <w:rsid w:val="005C7086"/>
    <w:rsid w:val="005C7972"/>
    <w:rsid w:val="005D190E"/>
    <w:rsid w:val="005D59F7"/>
    <w:rsid w:val="005D6906"/>
    <w:rsid w:val="005E095C"/>
    <w:rsid w:val="005E09FE"/>
    <w:rsid w:val="005E10E5"/>
    <w:rsid w:val="005E2FA8"/>
    <w:rsid w:val="005E3D85"/>
    <w:rsid w:val="005E57CB"/>
    <w:rsid w:val="005E5B94"/>
    <w:rsid w:val="005E5EF9"/>
    <w:rsid w:val="005E7A56"/>
    <w:rsid w:val="005F0FBC"/>
    <w:rsid w:val="005F2425"/>
    <w:rsid w:val="005F3D62"/>
    <w:rsid w:val="005F4190"/>
    <w:rsid w:val="005F5854"/>
    <w:rsid w:val="005F5C0B"/>
    <w:rsid w:val="005F7C45"/>
    <w:rsid w:val="00600267"/>
    <w:rsid w:val="006012EE"/>
    <w:rsid w:val="00604460"/>
    <w:rsid w:val="00604832"/>
    <w:rsid w:val="0061006B"/>
    <w:rsid w:val="006113BC"/>
    <w:rsid w:val="006146EE"/>
    <w:rsid w:val="006153A8"/>
    <w:rsid w:val="00615463"/>
    <w:rsid w:val="00615EBF"/>
    <w:rsid w:val="00616F28"/>
    <w:rsid w:val="006176F2"/>
    <w:rsid w:val="006200E7"/>
    <w:rsid w:val="00620222"/>
    <w:rsid w:val="006229C9"/>
    <w:rsid w:val="006246BC"/>
    <w:rsid w:val="006250B1"/>
    <w:rsid w:val="006255E0"/>
    <w:rsid w:val="006263BF"/>
    <w:rsid w:val="006307AE"/>
    <w:rsid w:val="00633E39"/>
    <w:rsid w:val="006363AF"/>
    <w:rsid w:val="00636C19"/>
    <w:rsid w:val="00636CC4"/>
    <w:rsid w:val="0063745F"/>
    <w:rsid w:val="006379F9"/>
    <w:rsid w:val="00640342"/>
    <w:rsid w:val="00640A5C"/>
    <w:rsid w:val="00641A64"/>
    <w:rsid w:val="00643A38"/>
    <w:rsid w:val="00646DC2"/>
    <w:rsid w:val="00647677"/>
    <w:rsid w:val="00647915"/>
    <w:rsid w:val="0065034D"/>
    <w:rsid w:val="00651D67"/>
    <w:rsid w:val="00653544"/>
    <w:rsid w:val="0065417A"/>
    <w:rsid w:val="006544DC"/>
    <w:rsid w:val="006550F4"/>
    <w:rsid w:val="00655496"/>
    <w:rsid w:val="0065593E"/>
    <w:rsid w:val="006609C6"/>
    <w:rsid w:val="006621BE"/>
    <w:rsid w:val="00666CDF"/>
    <w:rsid w:val="006678C2"/>
    <w:rsid w:val="006708BC"/>
    <w:rsid w:val="00671EA2"/>
    <w:rsid w:val="00673DD4"/>
    <w:rsid w:val="0067461F"/>
    <w:rsid w:val="0067498B"/>
    <w:rsid w:val="00675161"/>
    <w:rsid w:val="006759AE"/>
    <w:rsid w:val="006777F0"/>
    <w:rsid w:val="00681984"/>
    <w:rsid w:val="0068332C"/>
    <w:rsid w:val="0068378C"/>
    <w:rsid w:val="00684228"/>
    <w:rsid w:val="0068483C"/>
    <w:rsid w:val="00685358"/>
    <w:rsid w:val="00691321"/>
    <w:rsid w:val="0069197D"/>
    <w:rsid w:val="0069477B"/>
    <w:rsid w:val="00694A32"/>
    <w:rsid w:val="00695432"/>
    <w:rsid w:val="00697197"/>
    <w:rsid w:val="00697D5B"/>
    <w:rsid w:val="006A1474"/>
    <w:rsid w:val="006A4394"/>
    <w:rsid w:val="006A778C"/>
    <w:rsid w:val="006A7B88"/>
    <w:rsid w:val="006B0C39"/>
    <w:rsid w:val="006B1056"/>
    <w:rsid w:val="006B2BD3"/>
    <w:rsid w:val="006B2C46"/>
    <w:rsid w:val="006B3872"/>
    <w:rsid w:val="006B5E7A"/>
    <w:rsid w:val="006B6305"/>
    <w:rsid w:val="006B7594"/>
    <w:rsid w:val="006B798B"/>
    <w:rsid w:val="006C0F09"/>
    <w:rsid w:val="006C2272"/>
    <w:rsid w:val="006C2B0F"/>
    <w:rsid w:val="006C3EAD"/>
    <w:rsid w:val="006C4512"/>
    <w:rsid w:val="006C7F82"/>
    <w:rsid w:val="006D0616"/>
    <w:rsid w:val="006D2863"/>
    <w:rsid w:val="006D2B6D"/>
    <w:rsid w:val="006D4592"/>
    <w:rsid w:val="006D4F6A"/>
    <w:rsid w:val="006D7776"/>
    <w:rsid w:val="006E55B1"/>
    <w:rsid w:val="006E6993"/>
    <w:rsid w:val="006E7E76"/>
    <w:rsid w:val="006F0ED5"/>
    <w:rsid w:val="006F2857"/>
    <w:rsid w:val="006F2C51"/>
    <w:rsid w:val="006F3B42"/>
    <w:rsid w:val="006F3D02"/>
    <w:rsid w:val="006F5264"/>
    <w:rsid w:val="00700D57"/>
    <w:rsid w:val="007016DE"/>
    <w:rsid w:val="007025FE"/>
    <w:rsid w:val="00702E9D"/>
    <w:rsid w:val="00703E94"/>
    <w:rsid w:val="007058CA"/>
    <w:rsid w:val="00705D49"/>
    <w:rsid w:val="00706AD8"/>
    <w:rsid w:val="007106DB"/>
    <w:rsid w:val="00712B63"/>
    <w:rsid w:val="007146F3"/>
    <w:rsid w:val="00714898"/>
    <w:rsid w:val="0071493B"/>
    <w:rsid w:val="007151D8"/>
    <w:rsid w:val="00717D0F"/>
    <w:rsid w:val="007205DD"/>
    <w:rsid w:val="007206E0"/>
    <w:rsid w:val="007216D7"/>
    <w:rsid w:val="00721A17"/>
    <w:rsid w:val="007232EE"/>
    <w:rsid w:val="007243D5"/>
    <w:rsid w:val="00724BFA"/>
    <w:rsid w:val="00725EB7"/>
    <w:rsid w:val="0072602F"/>
    <w:rsid w:val="007274D1"/>
    <w:rsid w:val="007308AD"/>
    <w:rsid w:val="00730A53"/>
    <w:rsid w:val="00731849"/>
    <w:rsid w:val="0073205A"/>
    <w:rsid w:val="00734432"/>
    <w:rsid w:val="0073555B"/>
    <w:rsid w:val="00735A0C"/>
    <w:rsid w:val="0073650E"/>
    <w:rsid w:val="0074347D"/>
    <w:rsid w:val="00745874"/>
    <w:rsid w:val="007458DC"/>
    <w:rsid w:val="007503A0"/>
    <w:rsid w:val="00755BCA"/>
    <w:rsid w:val="00755D9C"/>
    <w:rsid w:val="00755FE1"/>
    <w:rsid w:val="00756B9A"/>
    <w:rsid w:val="00760EE6"/>
    <w:rsid w:val="00761595"/>
    <w:rsid w:val="00761F6C"/>
    <w:rsid w:val="00762413"/>
    <w:rsid w:val="0076524F"/>
    <w:rsid w:val="007707AC"/>
    <w:rsid w:val="00770F95"/>
    <w:rsid w:val="0077172B"/>
    <w:rsid w:val="00774D01"/>
    <w:rsid w:val="00777F39"/>
    <w:rsid w:val="007810FD"/>
    <w:rsid w:val="00781D25"/>
    <w:rsid w:val="007839DD"/>
    <w:rsid w:val="00786F32"/>
    <w:rsid w:val="0079545B"/>
    <w:rsid w:val="00795E76"/>
    <w:rsid w:val="007A1099"/>
    <w:rsid w:val="007A7C4A"/>
    <w:rsid w:val="007B1FC0"/>
    <w:rsid w:val="007B492E"/>
    <w:rsid w:val="007B6955"/>
    <w:rsid w:val="007C20ED"/>
    <w:rsid w:val="007C218D"/>
    <w:rsid w:val="007C258C"/>
    <w:rsid w:val="007C3CF3"/>
    <w:rsid w:val="007C5F6A"/>
    <w:rsid w:val="007C74C0"/>
    <w:rsid w:val="007C7BCC"/>
    <w:rsid w:val="007C7FD5"/>
    <w:rsid w:val="007D02DB"/>
    <w:rsid w:val="007D0794"/>
    <w:rsid w:val="007D3321"/>
    <w:rsid w:val="007D3B0F"/>
    <w:rsid w:val="007D61F2"/>
    <w:rsid w:val="007D77BB"/>
    <w:rsid w:val="007E1EF7"/>
    <w:rsid w:val="007E22D1"/>
    <w:rsid w:val="007E412D"/>
    <w:rsid w:val="007E546D"/>
    <w:rsid w:val="007E5485"/>
    <w:rsid w:val="007E72AD"/>
    <w:rsid w:val="007F07BB"/>
    <w:rsid w:val="007F0B56"/>
    <w:rsid w:val="007F12C8"/>
    <w:rsid w:val="007F1329"/>
    <w:rsid w:val="007F2535"/>
    <w:rsid w:val="007F2DF8"/>
    <w:rsid w:val="007F330A"/>
    <w:rsid w:val="007F34E2"/>
    <w:rsid w:val="007F37AC"/>
    <w:rsid w:val="007F3E3D"/>
    <w:rsid w:val="007F406C"/>
    <w:rsid w:val="007F6129"/>
    <w:rsid w:val="007F6167"/>
    <w:rsid w:val="00801704"/>
    <w:rsid w:val="0080557B"/>
    <w:rsid w:val="00806202"/>
    <w:rsid w:val="00806248"/>
    <w:rsid w:val="00807331"/>
    <w:rsid w:val="00811C74"/>
    <w:rsid w:val="0081232E"/>
    <w:rsid w:val="00812E16"/>
    <w:rsid w:val="008132DE"/>
    <w:rsid w:val="0081433A"/>
    <w:rsid w:val="0082362A"/>
    <w:rsid w:val="00826DCD"/>
    <w:rsid w:val="008308CF"/>
    <w:rsid w:val="008310F1"/>
    <w:rsid w:val="00831159"/>
    <w:rsid w:val="0083441D"/>
    <w:rsid w:val="00835D3A"/>
    <w:rsid w:val="008407E7"/>
    <w:rsid w:val="00841020"/>
    <w:rsid w:val="00843459"/>
    <w:rsid w:val="008436FC"/>
    <w:rsid w:val="00845248"/>
    <w:rsid w:val="008504D7"/>
    <w:rsid w:val="00852246"/>
    <w:rsid w:val="008525D9"/>
    <w:rsid w:val="00852C79"/>
    <w:rsid w:val="00854071"/>
    <w:rsid w:val="00855368"/>
    <w:rsid w:val="00855452"/>
    <w:rsid w:val="00855DB2"/>
    <w:rsid w:val="00855FC1"/>
    <w:rsid w:val="00857475"/>
    <w:rsid w:val="00857517"/>
    <w:rsid w:val="00860727"/>
    <w:rsid w:val="008634D7"/>
    <w:rsid w:val="00864B1B"/>
    <w:rsid w:val="00865913"/>
    <w:rsid w:val="00865DE8"/>
    <w:rsid w:val="00867844"/>
    <w:rsid w:val="00867903"/>
    <w:rsid w:val="00867DE5"/>
    <w:rsid w:val="00870FB9"/>
    <w:rsid w:val="00873AF7"/>
    <w:rsid w:val="008743B3"/>
    <w:rsid w:val="008750A3"/>
    <w:rsid w:val="008755DC"/>
    <w:rsid w:val="00880ED8"/>
    <w:rsid w:val="00881829"/>
    <w:rsid w:val="00885E25"/>
    <w:rsid w:val="008870D0"/>
    <w:rsid w:val="00887663"/>
    <w:rsid w:val="00887D70"/>
    <w:rsid w:val="0089143C"/>
    <w:rsid w:val="00893221"/>
    <w:rsid w:val="00893470"/>
    <w:rsid w:val="0089499B"/>
    <w:rsid w:val="00897E4B"/>
    <w:rsid w:val="008A01CA"/>
    <w:rsid w:val="008A0390"/>
    <w:rsid w:val="008A1D6F"/>
    <w:rsid w:val="008A3A79"/>
    <w:rsid w:val="008A3B14"/>
    <w:rsid w:val="008A4C99"/>
    <w:rsid w:val="008A55B1"/>
    <w:rsid w:val="008A627A"/>
    <w:rsid w:val="008A6CA4"/>
    <w:rsid w:val="008A6E60"/>
    <w:rsid w:val="008B0554"/>
    <w:rsid w:val="008B0597"/>
    <w:rsid w:val="008B0C79"/>
    <w:rsid w:val="008B1E6D"/>
    <w:rsid w:val="008C06DD"/>
    <w:rsid w:val="008C0EC9"/>
    <w:rsid w:val="008C11B7"/>
    <w:rsid w:val="008C5BA2"/>
    <w:rsid w:val="008C672B"/>
    <w:rsid w:val="008C68D4"/>
    <w:rsid w:val="008D0BED"/>
    <w:rsid w:val="008D11DD"/>
    <w:rsid w:val="008D38EA"/>
    <w:rsid w:val="008D4F27"/>
    <w:rsid w:val="008D6C5E"/>
    <w:rsid w:val="008D6E54"/>
    <w:rsid w:val="008D7DB3"/>
    <w:rsid w:val="008E7B03"/>
    <w:rsid w:val="008E7F80"/>
    <w:rsid w:val="008F0451"/>
    <w:rsid w:val="008F1F0C"/>
    <w:rsid w:val="008F2A25"/>
    <w:rsid w:val="008F2D72"/>
    <w:rsid w:val="008F5F4B"/>
    <w:rsid w:val="008F6200"/>
    <w:rsid w:val="00901392"/>
    <w:rsid w:val="009016D0"/>
    <w:rsid w:val="00901946"/>
    <w:rsid w:val="00901F57"/>
    <w:rsid w:val="00902593"/>
    <w:rsid w:val="0090264E"/>
    <w:rsid w:val="00904871"/>
    <w:rsid w:val="00904F62"/>
    <w:rsid w:val="009077D5"/>
    <w:rsid w:val="00910B89"/>
    <w:rsid w:val="00911B99"/>
    <w:rsid w:val="00911FC1"/>
    <w:rsid w:val="00912B88"/>
    <w:rsid w:val="00912D79"/>
    <w:rsid w:val="00913661"/>
    <w:rsid w:val="00915243"/>
    <w:rsid w:val="00915988"/>
    <w:rsid w:val="00916891"/>
    <w:rsid w:val="00920EFD"/>
    <w:rsid w:val="009243C4"/>
    <w:rsid w:val="00924A85"/>
    <w:rsid w:val="00925739"/>
    <w:rsid w:val="00925E7C"/>
    <w:rsid w:val="00931025"/>
    <w:rsid w:val="009316D8"/>
    <w:rsid w:val="00931BC1"/>
    <w:rsid w:val="00932365"/>
    <w:rsid w:val="00932C52"/>
    <w:rsid w:val="0093479E"/>
    <w:rsid w:val="009416A6"/>
    <w:rsid w:val="00944B38"/>
    <w:rsid w:val="009464AA"/>
    <w:rsid w:val="00950A6A"/>
    <w:rsid w:val="00950F10"/>
    <w:rsid w:val="009539A1"/>
    <w:rsid w:val="00955156"/>
    <w:rsid w:val="009552C5"/>
    <w:rsid w:val="009552ED"/>
    <w:rsid w:val="009569E1"/>
    <w:rsid w:val="00956F5A"/>
    <w:rsid w:val="009606B4"/>
    <w:rsid w:val="00960AA8"/>
    <w:rsid w:val="009614A8"/>
    <w:rsid w:val="00961B66"/>
    <w:rsid w:val="00962847"/>
    <w:rsid w:val="00964314"/>
    <w:rsid w:val="00967804"/>
    <w:rsid w:val="00967C7B"/>
    <w:rsid w:val="009707CE"/>
    <w:rsid w:val="00970E48"/>
    <w:rsid w:val="00971FA3"/>
    <w:rsid w:val="0097204D"/>
    <w:rsid w:val="00972EFD"/>
    <w:rsid w:val="00973A7B"/>
    <w:rsid w:val="00974971"/>
    <w:rsid w:val="00974DB1"/>
    <w:rsid w:val="009767D4"/>
    <w:rsid w:val="00981E28"/>
    <w:rsid w:val="0098475B"/>
    <w:rsid w:val="00984E16"/>
    <w:rsid w:val="00986883"/>
    <w:rsid w:val="009925FE"/>
    <w:rsid w:val="00992DF7"/>
    <w:rsid w:val="00994A17"/>
    <w:rsid w:val="00997B23"/>
    <w:rsid w:val="009A0D29"/>
    <w:rsid w:val="009A7CC1"/>
    <w:rsid w:val="009B11D7"/>
    <w:rsid w:val="009B1257"/>
    <w:rsid w:val="009B1C67"/>
    <w:rsid w:val="009B3FD9"/>
    <w:rsid w:val="009B6FD4"/>
    <w:rsid w:val="009B776C"/>
    <w:rsid w:val="009C09A3"/>
    <w:rsid w:val="009C1F1B"/>
    <w:rsid w:val="009C583B"/>
    <w:rsid w:val="009C5A12"/>
    <w:rsid w:val="009D1184"/>
    <w:rsid w:val="009D1245"/>
    <w:rsid w:val="009D55D9"/>
    <w:rsid w:val="009D6DFB"/>
    <w:rsid w:val="009E0E0A"/>
    <w:rsid w:val="009E232D"/>
    <w:rsid w:val="009E2F3D"/>
    <w:rsid w:val="009E4187"/>
    <w:rsid w:val="009E7919"/>
    <w:rsid w:val="009F0E8D"/>
    <w:rsid w:val="009F630C"/>
    <w:rsid w:val="00A00C75"/>
    <w:rsid w:val="00A014B9"/>
    <w:rsid w:val="00A0230D"/>
    <w:rsid w:val="00A02BD2"/>
    <w:rsid w:val="00A04A44"/>
    <w:rsid w:val="00A0504E"/>
    <w:rsid w:val="00A0657B"/>
    <w:rsid w:val="00A07A45"/>
    <w:rsid w:val="00A1025E"/>
    <w:rsid w:val="00A108B7"/>
    <w:rsid w:val="00A1291B"/>
    <w:rsid w:val="00A12CBD"/>
    <w:rsid w:val="00A14093"/>
    <w:rsid w:val="00A14A20"/>
    <w:rsid w:val="00A14FE5"/>
    <w:rsid w:val="00A151CF"/>
    <w:rsid w:val="00A161A0"/>
    <w:rsid w:val="00A220F0"/>
    <w:rsid w:val="00A22565"/>
    <w:rsid w:val="00A26301"/>
    <w:rsid w:val="00A273A9"/>
    <w:rsid w:val="00A27972"/>
    <w:rsid w:val="00A34640"/>
    <w:rsid w:val="00A34EDB"/>
    <w:rsid w:val="00A35753"/>
    <w:rsid w:val="00A3654B"/>
    <w:rsid w:val="00A367E1"/>
    <w:rsid w:val="00A41C57"/>
    <w:rsid w:val="00A42BA0"/>
    <w:rsid w:val="00A4342F"/>
    <w:rsid w:val="00A46993"/>
    <w:rsid w:val="00A507CE"/>
    <w:rsid w:val="00A50863"/>
    <w:rsid w:val="00A51431"/>
    <w:rsid w:val="00A51CE7"/>
    <w:rsid w:val="00A524AE"/>
    <w:rsid w:val="00A57C82"/>
    <w:rsid w:val="00A60A1B"/>
    <w:rsid w:val="00A611F2"/>
    <w:rsid w:val="00A61422"/>
    <w:rsid w:val="00A6710B"/>
    <w:rsid w:val="00A677B9"/>
    <w:rsid w:val="00A70E9C"/>
    <w:rsid w:val="00A72CCF"/>
    <w:rsid w:val="00A73549"/>
    <w:rsid w:val="00A74542"/>
    <w:rsid w:val="00A74F2F"/>
    <w:rsid w:val="00A81134"/>
    <w:rsid w:val="00A81DDD"/>
    <w:rsid w:val="00A81E8F"/>
    <w:rsid w:val="00A85579"/>
    <w:rsid w:val="00A85E7C"/>
    <w:rsid w:val="00A86B99"/>
    <w:rsid w:val="00A907AB"/>
    <w:rsid w:val="00A90D3A"/>
    <w:rsid w:val="00A92003"/>
    <w:rsid w:val="00A9492C"/>
    <w:rsid w:val="00A949BC"/>
    <w:rsid w:val="00A949E2"/>
    <w:rsid w:val="00A968BC"/>
    <w:rsid w:val="00AA0709"/>
    <w:rsid w:val="00AA1889"/>
    <w:rsid w:val="00AA1BFD"/>
    <w:rsid w:val="00AA2FB0"/>
    <w:rsid w:val="00AA36B6"/>
    <w:rsid w:val="00AA6572"/>
    <w:rsid w:val="00AA6A2B"/>
    <w:rsid w:val="00AA6B7D"/>
    <w:rsid w:val="00AB0922"/>
    <w:rsid w:val="00AB1A61"/>
    <w:rsid w:val="00AB1C29"/>
    <w:rsid w:val="00AB22F6"/>
    <w:rsid w:val="00AB4024"/>
    <w:rsid w:val="00AB4337"/>
    <w:rsid w:val="00AB5D7A"/>
    <w:rsid w:val="00AC1CE7"/>
    <w:rsid w:val="00AC40B6"/>
    <w:rsid w:val="00AC4453"/>
    <w:rsid w:val="00AC7549"/>
    <w:rsid w:val="00AD0329"/>
    <w:rsid w:val="00AD090C"/>
    <w:rsid w:val="00AD1379"/>
    <w:rsid w:val="00AD19BE"/>
    <w:rsid w:val="00AD19FF"/>
    <w:rsid w:val="00AD42B3"/>
    <w:rsid w:val="00AD5CCA"/>
    <w:rsid w:val="00AD7FE7"/>
    <w:rsid w:val="00AE0090"/>
    <w:rsid w:val="00AE322A"/>
    <w:rsid w:val="00AE3DBC"/>
    <w:rsid w:val="00AE4DAE"/>
    <w:rsid w:val="00AE5191"/>
    <w:rsid w:val="00AE58EC"/>
    <w:rsid w:val="00AF053E"/>
    <w:rsid w:val="00AF0DCB"/>
    <w:rsid w:val="00AF0F3D"/>
    <w:rsid w:val="00AF1BEE"/>
    <w:rsid w:val="00AF364E"/>
    <w:rsid w:val="00AF38B8"/>
    <w:rsid w:val="00AF5C73"/>
    <w:rsid w:val="00B02E40"/>
    <w:rsid w:val="00B038C4"/>
    <w:rsid w:val="00B044FD"/>
    <w:rsid w:val="00B075B6"/>
    <w:rsid w:val="00B078E7"/>
    <w:rsid w:val="00B1109B"/>
    <w:rsid w:val="00B1154B"/>
    <w:rsid w:val="00B1220E"/>
    <w:rsid w:val="00B1336A"/>
    <w:rsid w:val="00B15ED6"/>
    <w:rsid w:val="00B1753F"/>
    <w:rsid w:val="00B175C6"/>
    <w:rsid w:val="00B23661"/>
    <w:rsid w:val="00B23F79"/>
    <w:rsid w:val="00B24007"/>
    <w:rsid w:val="00B25F68"/>
    <w:rsid w:val="00B2634E"/>
    <w:rsid w:val="00B3040D"/>
    <w:rsid w:val="00B311F1"/>
    <w:rsid w:val="00B3270F"/>
    <w:rsid w:val="00B3431E"/>
    <w:rsid w:val="00B34785"/>
    <w:rsid w:val="00B34845"/>
    <w:rsid w:val="00B356F8"/>
    <w:rsid w:val="00B368EB"/>
    <w:rsid w:val="00B37E69"/>
    <w:rsid w:val="00B37F26"/>
    <w:rsid w:val="00B421F4"/>
    <w:rsid w:val="00B42488"/>
    <w:rsid w:val="00B4507D"/>
    <w:rsid w:val="00B46905"/>
    <w:rsid w:val="00B47EB1"/>
    <w:rsid w:val="00B504EB"/>
    <w:rsid w:val="00B535DA"/>
    <w:rsid w:val="00B5380E"/>
    <w:rsid w:val="00B54878"/>
    <w:rsid w:val="00B563CA"/>
    <w:rsid w:val="00B56F62"/>
    <w:rsid w:val="00B57385"/>
    <w:rsid w:val="00B5763B"/>
    <w:rsid w:val="00B62148"/>
    <w:rsid w:val="00B630F6"/>
    <w:rsid w:val="00B672B8"/>
    <w:rsid w:val="00B71B1D"/>
    <w:rsid w:val="00B71DC3"/>
    <w:rsid w:val="00B72C30"/>
    <w:rsid w:val="00B740AD"/>
    <w:rsid w:val="00B74E21"/>
    <w:rsid w:val="00B77272"/>
    <w:rsid w:val="00B81215"/>
    <w:rsid w:val="00B819BC"/>
    <w:rsid w:val="00B823BE"/>
    <w:rsid w:val="00B83023"/>
    <w:rsid w:val="00B8450A"/>
    <w:rsid w:val="00B84863"/>
    <w:rsid w:val="00B852EC"/>
    <w:rsid w:val="00B85DFD"/>
    <w:rsid w:val="00B871EF"/>
    <w:rsid w:val="00B91105"/>
    <w:rsid w:val="00B911EF"/>
    <w:rsid w:val="00B96032"/>
    <w:rsid w:val="00B9628B"/>
    <w:rsid w:val="00B96BBE"/>
    <w:rsid w:val="00BA18A3"/>
    <w:rsid w:val="00BA6EAF"/>
    <w:rsid w:val="00BA753A"/>
    <w:rsid w:val="00BB104E"/>
    <w:rsid w:val="00BB14B8"/>
    <w:rsid w:val="00BB1C31"/>
    <w:rsid w:val="00BB2172"/>
    <w:rsid w:val="00BB22BD"/>
    <w:rsid w:val="00BB297C"/>
    <w:rsid w:val="00BB3463"/>
    <w:rsid w:val="00BB62CD"/>
    <w:rsid w:val="00BC3046"/>
    <w:rsid w:val="00BC5D7D"/>
    <w:rsid w:val="00BD0284"/>
    <w:rsid w:val="00BD1EBC"/>
    <w:rsid w:val="00BD27ED"/>
    <w:rsid w:val="00BD3985"/>
    <w:rsid w:val="00BD3D66"/>
    <w:rsid w:val="00BD3FB8"/>
    <w:rsid w:val="00BD5497"/>
    <w:rsid w:val="00BD58C5"/>
    <w:rsid w:val="00BD5E76"/>
    <w:rsid w:val="00BD74D5"/>
    <w:rsid w:val="00BE0B9C"/>
    <w:rsid w:val="00BE1C0A"/>
    <w:rsid w:val="00BE2590"/>
    <w:rsid w:val="00BE3967"/>
    <w:rsid w:val="00BE5144"/>
    <w:rsid w:val="00BE6BCB"/>
    <w:rsid w:val="00BE6C28"/>
    <w:rsid w:val="00BF0863"/>
    <w:rsid w:val="00BF0877"/>
    <w:rsid w:val="00BF0B7E"/>
    <w:rsid w:val="00BF0D03"/>
    <w:rsid w:val="00BF279D"/>
    <w:rsid w:val="00BF295C"/>
    <w:rsid w:val="00BF375F"/>
    <w:rsid w:val="00BF6FC2"/>
    <w:rsid w:val="00BF7147"/>
    <w:rsid w:val="00C00A1E"/>
    <w:rsid w:val="00C00C77"/>
    <w:rsid w:val="00C03504"/>
    <w:rsid w:val="00C043B5"/>
    <w:rsid w:val="00C06346"/>
    <w:rsid w:val="00C10D1D"/>
    <w:rsid w:val="00C10E9B"/>
    <w:rsid w:val="00C111FF"/>
    <w:rsid w:val="00C13A6F"/>
    <w:rsid w:val="00C14D5F"/>
    <w:rsid w:val="00C17675"/>
    <w:rsid w:val="00C20C97"/>
    <w:rsid w:val="00C21390"/>
    <w:rsid w:val="00C218B9"/>
    <w:rsid w:val="00C23DA1"/>
    <w:rsid w:val="00C24E23"/>
    <w:rsid w:val="00C25B8B"/>
    <w:rsid w:val="00C27345"/>
    <w:rsid w:val="00C30990"/>
    <w:rsid w:val="00C34289"/>
    <w:rsid w:val="00C344BF"/>
    <w:rsid w:val="00C34BD6"/>
    <w:rsid w:val="00C363E2"/>
    <w:rsid w:val="00C36D5F"/>
    <w:rsid w:val="00C37C22"/>
    <w:rsid w:val="00C46011"/>
    <w:rsid w:val="00C46353"/>
    <w:rsid w:val="00C53C12"/>
    <w:rsid w:val="00C55964"/>
    <w:rsid w:val="00C60048"/>
    <w:rsid w:val="00C61023"/>
    <w:rsid w:val="00C61118"/>
    <w:rsid w:val="00C6126F"/>
    <w:rsid w:val="00C63381"/>
    <w:rsid w:val="00C64030"/>
    <w:rsid w:val="00C676DD"/>
    <w:rsid w:val="00C6770E"/>
    <w:rsid w:val="00C67B75"/>
    <w:rsid w:val="00C715AC"/>
    <w:rsid w:val="00C722EE"/>
    <w:rsid w:val="00C72875"/>
    <w:rsid w:val="00C7568D"/>
    <w:rsid w:val="00C75EB7"/>
    <w:rsid w:val="00C76B1D"/>
    <w:rsid w:val="00C76D45"/>
    <w:rsid w:val="00C828A4"/>
    <w:rsid w:val="00C903E9"/>
    <w:rsid w:val="00C9339D"/>
    <w:rsid w:val="00C93E18"/>
    <w:rsid w:val="00C93F73"/>
    <w:rsid w:val="00C95BC4"/>
    <w:rsid w:val="00C95E98"/>
    <w:rsid w:val="00C97340"/>
    <w:rsid w:val="00C9783F"/>
    <w:rsid w:val="00CA0919"/>
    <w:rsid w:val="00CA1795"/>
    <w:rsid w:val="00CA1ADB"/>
    <w:rsid w:val="00CA2297"/>
    <w:rsid w:val="00CA2D84"/>
    <w:rsid w:val="00CA4CB5"/>
    <w:rsid w:val="00CA7342"/>
    <w:rsid w:val="00CB13FA"/>
    <w:rsid w:val="00CB193D"/>
    <w:rsid w:val="00CB1F1D"/>
    <w:rsid w:val="00CB3104"/>
    <w:rsid w:val="00CB42E5"/>
    <w:rsid w:val="00CB4453"/>
    <w:rsid w:val="00CB54A5"/>
    <w:rsid w:val="00CB5E8C"/>
    <w:rsid w:val="00CB70B1"/>
    <w:rsid w:val="00CB7136"/>
    <w:rsid w:val="00CC163A"/>
    <w:rsid w:val="00CC2BD1"/>
    <w:rsid w:val="00CC3C34"/>
    <w:rsid w:val="00CC3ED1"/>
    <w:rsid w:val="00CC4546"/>
    <w:rsid w:val="00CC5A4F"/>
    <w:rsid w:val="00CC6091"/>
    <w:rsid w:val="00CD2A50"/>
    <w:rsid w:val="00CD2E93"/>
    <w:rsid w:val="00CD3BB9"/>
    <w:rsid w:val="00CD43D0"/>
    <w:rsid w:val="00CD4C79"/>
    <w:rsid w:val="00CD654E"/>
    <w:rsid w:val="00CD734A"/>
    <w:rsid w:val="00CE105C"/>
    <w:rsid w:val="00CE3199"/>
    <w:rsid w:val="00CE641E"/>
    <w:rsid w:val="00CF060B"/>
    <w:rsid w:val="00CF10E6"/>
    <w:rsid w:val="00CF2012"/>
    <w:rsid w:val="00CF3614"/>
    <w:rsid w:val="00CF46D2"/>
    <w:rsid w:val="00CF4C37"/>
    <w:rsid w:val="00CF5634"/>
    <w:rsid w:val="00D018B2"/>
    <w:rsid w:val="00D01EBB"/>
    <w:rsid w:val="00D0252F"/>
    <w:rsid w:val="00D045AF"/>
    <w:rsid w:val="00D048AB"/>
    <w:rsid w:val="00D054E0"/>
    <w:rsid w:val="00D10503"/>
    <w:rsid w:val="00D11C0D"/>
    <w:rsid w:val="00D12660"/>
    <w:rsid w:val="00D14A02"/>
    <w:rsid w:val="00D14ABE"/>
    <w:rsid w:val="00D153A8"/>
    <w:rsid w:val="00D15D80"/>
    <w:rsid w:val="00D16150"/>
    <w:rsid w:val="00D221AF"/>
    <w:rsid w:val="00D23458"/>
    <w:rsid w:val="00D25A5C"/>
    <w:rsid w:val="00D25C0E"/>
    <w:rsid w:val="00D2724D"/>
    <w:rsid w:val="00D31FAB"/>
    <w:rsid w:val="00D324AA"/>
    <w:rsid w:val="00D35961"/>
    <w:rsid w:val="00D3609D"/>
    <w:rsid w:val="00D431F6"/>
    <w:rsid w:val="00D43609"/>
    <w:rsid w:val="00D4553B"/>
    <w:rsid w:val="00D5341A"/>
    <w:rsid w:val="00D55905"/>
    <w:rsid w:val="00D55EDE"/>
    <w:rsid w:val="00D56897"/>
    <w:rsid w:val="00D5761D"/>
    <w:rsid w:val="00D57734"/>
    <w:rsid w:val="00D607E1"/>
    <w:rsid w:val="00D60935"/>
    <w:rsid w:val="00D60AAD"/>
    <w:rsid w:val="00D61C91"/>
    <w:rsid w:val="00D62001"/>
    <w:rsid w:val="00D6250F"/>
    <w:rsid w:val="00D6426D"/>
    <w:rsid w:val="00D67967"/>
    <w:rsid w:val="00D7085B"/>
    <w:rsid w:val="00D71B7D"/>
    <w:rsid w:val="00D72489"/>
    <w:rsid w:val="00D806D3"/>
    <w:rsid w:val="00D8207A"/>
    <w:rsid w:val="00D8752A"/>
    <w:rsid w:val="00D94398"/>
    <w:rsid w:val="00D9455F"/>
    <w:rsid w:val="00D94A07"/>
    <w:rsid w:val="00D94F8B"/>
    <w:rsid w:val="00D9572A"/>
    <w:rsid w:val="00D95C76"/>
    <w:rsid w:val="00D97648"/>
    <w:rsid w:val="00D978D2"/>
    <w:rsid w:val="00D97962"/>
    <w:rsid w:val="00DA0FBA"/>
    <w:rsid w:val="00DA1A1B"/>
    <w:rsid w:val="00DA5026"/>
    <w:rsid w:val="00DA54AF"/>
    <w:rsid w:val="00DA5808"/>
    <w:rsid w:val="00DA6B36"/>
    <w:rsid w:val="00DA75D4"/>
    <w:rsid w:val="00DB095C"/>
    <w:rsid w:val="00DB582E"/>
    <w:rsid w:val="00DB68CC"/>
    <w:rsid w:val="00DC01EC"/>
    <w:rsid w:val="00DC0E5D"/>
    <w:rsid w:val="00DC16F3"/>
    <w:rsid w:val="00DC1A71"/>
    <w:rsid w:val="00DC3556"/>
    <w:rsid w:val="00DC4EC1"/>
    <w:rsid w:val="00DC5553"/>
    <w:rsid w:val="00DC58EF"/>
    <w:rsid w:val="00DC5BAE"/>
    <w:rsid w:val="00DD5C13"/>
    <w:rsid w:val="00DD5D9B"/>
    <w:rsid w:val="00DD7776"/>
    <w:rsid w:val="00DE03A9"/>
    <w:rsid w:val="00DE0A57"/>
    <w:rsid w:val="00DE164B"/>
    <w:rsid w:val="00DE29F5"/>
    <w:rsid w:val="00DE2E7F"/>
    <w:rsid w:val="00DE358D"/>
    <w:rsid w:val="00DE42C0"/>
    <w:rsid w:val="00DE47A4"/>
    <w:rsid w:val="00DE5F73"/>
    <w:rsid w:val="00DE64EE"/>
    <w:rsid w:val="00DF06B5"/>
    <w:rsid w:val="00DF085C"/>
    <w:rsid w:val="00DF1622"/>
    <w:rsid w:val="00DF5508"/>
    <w:rsid w:val="00E00F4A"/>
    <w:rsid w:val="00E053CF"/>
    <w:rsid w:val="00E07DA4"/>
    <w:rsid w:val="00E10AEA"/>
    <w:rsid w:val="00E13B3A"/>
    <w:rsid w:val="00E1419B"/>
    <w:rsid w:val="00E149E3"/>
    <w:rsid w:val="00E15153"/>
    <w:rsid w:val="00E1546F"/>
    <w:rsid w:val="00E155A2"/>
    <w:rsid w:val="00E16737"/>
    <w:rsid w:val="00E17255"/>
    <w:rsid w:val="00E203CE"/>
    <w:rsid w:val="00E21A5F"/>
    <w:rsid w:val="00E22300"/>
    <w:rsid w:val="00E22D70"/>
    <w:rsid w:val="00E22F3A"/>
    <w:rsid w:val="00E273BF"/>
    <w:rsid w:val="00E30371"/>
    <w:rsid w:val="00E348E7"/>
    <w:rsid w:val="00E358C9"/>
    <w:rsid w:val="00E35ECF"/>
    <w:rsid w:val="00E3604E"/>
    <w:rsid w:val="00E376F2"/>
    <w:rsid w:val="00E3778E"/>
    <w:rsid w:val="00E37D23"/>
    <w:rsid w:val="00E42AF2"/>
    <w:rsid w:val="00E43590"/>
    <w:rsid w:val="00E44384"/>
    <w:rsid w:val="00E4526A"/>
    <w:rsid w:val="00E47624"/>
    <w:rsid w:val="00E50B24"/>
    <w:rsid w:val="00E5337E"/>
    <w:rsid w:val="00E53D55"/>
    <w:rsid w:val="00E56318"/>
    <w:rsid w:val="00E64013"/>
    <w:rsid w:val="00E65539"/>
    <w:rsid w:val="00E673F6"/>
    <w:rsid w:val="00E70DDB"/>
    <w:rsid w:val="00E73065"/>
    <w:rsid w:val="00E731A3"/>
    <w:rsid w:val="00E73CAE"/>
    <w:rsid w:val="00E73ECA"/>
    <w:rsid w:val="00E76C44"/>
    <w:rsid w:val="00E81A4C"/>
    <w:rsid w:val="00E84E7E"/>
    <w:rsid w:val="00E9138E"/>
    <w:rsid w:val="00E93362"/>
    <w:rsid w:val="00E93E79"/>
    <w:rsid w:val="00E941CA"/>
    <w:rsid w:val="00E94E13"/>
    <w:rsid w:val="00E959B6"/>
    <w:rsid w:val="00E95E02"/>
    <w:rsid w:val="00EA0CEB"/>
    <w:rsid w:val="00EA1328"/>
    <w:rsid w:val="00EA43F9"/>
    <w:rsid w:val="00EA4AC6"/>
    <w:rsid w:val="00EA4AFD"/>
    <w:rsid w:val="00EA4CB0"/>
    <w:rsid w:val="00EA74D1"/>
    <w:rsid w:val="00EB066A"/>
    <w:rsid w:val="00EB0CC2"/>
    <w:rsid w:val="00EB0E14"/>
    <w:rsid w:val="00EB2680"/>
    <w:rsid w:val="00EB6CCE"/>
    <w:rsid w:val="00EB745A"/>
    <w:rsid w:val="00EC040E"/>
    <w:rsid w:val="00EC0B8A"/>
    <w:rsid w:val="00EC2FD3"/>
    <w:rsid w:val="00EC562A"/>
    <w:rsid w:val="00EC5D34"/>
    <w:rsid w:val="00EC6804"/>
    <w:rsid w:val="00EC68B7"/>
    <w:rsid w:val="00EC7910"/>
    <w:rsid w:val="00ED034A"/>
    <w:rsid w:val="00ED0352"/>
    <w:rsid w:val="00ED05A8"/>
    <w:rsid w:val="00ED10CA"/>
    <w:rsid w:val="00ED2265"/>
    <w:rsid w:val="00ED2B73"/>
    <w:rsid w:val="00ED3650"/>
    <w:rsid w:val="00ED574D"/>
    <w:rsid w:val="00ED6360"/>
    <w:rsid w:val="00ED7D52"/>
    <w:rsid w:val="00EE175B"/>
    <w:rsid w:val="00EE2161"/>
    <w:rsid w:val="00EE222C"/>
    <w:rsid w:val="00EE2713"/>
    <w:rsid w:val="00EE31E3"/>
    <w:rsid w:val="00EE39B2"/>
    <w:rsid w:val="00EE41C8"/>
    <w:rsid w:val="00EE5A8F"/>
    <w:rsid w:val="00EE758F"/>
    <w:rsid w:val="00EE7F63"/>
    <w:rsid w:val="00EF0A16"/>
    <w:rsid w:val="00EF0C5D"/>
    <w:rsid w:val="00EF124D"/>
    <w:rsid w:val="00EF13F2"/>
    <w:rsid w:val="00EF151F"/>
    <w:rsid w:val="00EF43F8"/>
    <w:rsid w:val="00EF5E5D"/>
    <w:rsid w:val="00F002EC"/>
    <w:rsid w:val="00F011CD"/>
    <w:rsid w:val="00F0126F"/>
    <w:rsid w:val="00F01A3F"/>
    <w:rsid w:val="00F03D0C"/>
    <w:rsid w:val="00F04042"/>
    <w:rsid w:val="00F05008"/>
    <w:rsid w:val="00F06711"/>
    <w:rsid w:val="00F0671B"/>
    <w:rsid w:val="00F10091"/>
    <w:rsid w:val="00F1042C"/>
    <w:rsid w:val="00F10799"/>
    <w:rsid w:val="00F11B0D"/>
    <w:rsid w:val="00F11C01"/>
    <w:rsid w:val="00F12CAB"/>
    <w:rsid w:val="00F1474A"/>
    <w:rsid w:val="00F17124"/>
    <w:rsid w:val="00F17F82"/>
    <w:rsid w:val="00F212AB"/>
    <w:rsid w:val="00F21DF3"/>
    <w:rsid w:val="00F22A94"/>
    <w:rsid w:val="00F26650"/>
    <w:rsid w:val="00F27824"/>
    <w:rsid w:val="00F30B57"/>
    <w:rsid w:val="00F30BCB"/>
    <w:rsid w:val="00F319A3"/>
    <w:rsid w:val="00F32282"/>
    <w:rsid w:val="00F32B51"/>
    <w:rsid w:val="00F352B0"/>
    <w:rsid w:val="00F35E58"/>
    <w:rsid w:val="00F36781"/>
    <w:rsid w:val="00F40DFA"/>
    <w:rsid w:val="00F4141E"/>
    <w:rsid w:val="00F417D6"/>
    <w:rsid w:val="00F41BF5"/>
    <w:rsid w:val="00F44F31"/>
    <w:rsid w:val="00F46B61"/>
    <w:rsid w:val="00F50BB2"/>
    <w:rsid w:val="00F50C21"/>
    <w:rsid w:val="00F52504"/>
    <w:rsid w:val="00F55D84"/>
    <w:rsid w:val="00F5630A"/>
    <w:rsid w:val="00F60EA4"/>
    <w:rsid w:val="00F61614"/>
    <w:rsid w:val="00F62626"/>
    <w:rsid w:val="00F62D63"/>
    <w:rsid w:val="00F64FEB"/>
    <w:rsid w:val="00F6581D"/>
    <w:rsid w:val="00F7104C"/>
    <w:rsid w:val="00F71B43"/>
    <w:rsid w:val="00F71B68"/>
    <w:rsid w:val="00F7282B"/>
    <w:rsid w:val="00F72F31"/>
    <w:rsid w:val="00F74113"/>
    <w:rsid w:val="00F74E32"/>
    <w:rsid w:val="00F77935"/>
    <w:rsid w:val="00F77C6F"/>
    <w:rsid w:val="00F827E6"/>
    <w:rsid w:val="00F82A29"/>
    <w:rsid w:val="00F845C4"/>
    <w:rsid w:val="00F86402"/>
    <w:rsid w:val="00F8677E"/>
    <w:rsid w:val="00F870F4"/>
    <w:rsid w:val="00F911D8"/>
    <w:rsid w:val="00F91B92"/>
    <w:rsid w:val="00F93C33"/>
    <w:rsid w:val="00F93DCC"/>
    <w:rsid w:val="00F948EE"/>
    <w:rsid w:val="00FA409D"/>
    <w:rsid w:val="00FA60FF"/>
    <w:rsid w:val="00FB1947"/>
    <w:rsid w:val="00FB1C3F"/>
    <w:rsid w:val="00FB28B8"/>
    <w:rsid w:val="00FB3234"/>
    <w:rsid w:val="00FB3938"/>
    <w:rsid w:val="00FB3ACF"/>
    <w:rsid w:val="00FB4DF5"/>
    <w:rsid w:val="00FB590E"/>
    <w:rsid w:val="00FB71F1"/>
    <w:rsid w:val="00FC0D32"/>
    <w:rsid w:val="00FC665F"/>
    <w:rsid w:val="00FC72C8"/>
    <w:rsid w:val="00FC775E"/>
    <w:rsid w:val="00FC7BB5"/>
    <w:rsid w:val="00FD02FA"/>
    <w:rsid w:val="00FD2574"/>
    <w:rsid w:val="00FD4C5A"/>
    <w:rsid w:val="00FD50C5"/>
    <w:rsid w:val="00FD549D"/>
    <w:rsid w:val="00FD61BD"/>
    <w:rsid w:val="00FD6564"/>
    <w:rsid w:val="00FD73CD"/>
    <w:rsid w:val="00FE19E9"/>
    <w:rsid w:val="00FE4F6C"/>
    <w:rsid w:val="00FE5C20"/>
    <w:rsid w:val="00FE6299"/>
    <w:rsid w:val="00FF0647"/>
    <w:rsid w:val="00FF0721"/>
    <w:rsid w:val="00FF34E2"/>
    <w:rsid w:val="00FF353D"/>
    <w:rsid w:val="00FF3FD2"/>
    <w:rsid w:val="00FF4A65"/>
    <w:rsid w:val="00FF6C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C327E3"/>
  <w15:docId w15:val="{7F37D360-9087-1645-8670-9744C69D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7E6"/>
    <w:pPr>
      <w:spacing w:after="0"/>
    </w:pPr>
    <w:rPr>
      <w:sz w:val="21"/>
      <w:lang w:val="en-NZ"/>
    </w:rPr>
  </w:style>
  <w:style w:type="paragraph" w:styleId="Heading1">
    <w:name w:val="heading 1"/>
    <w:basedOn w:val="Normal"/>
    <w:next w:val="Normal"/>
    <w:link w:val="Heading1Char"/>
    <w:qFormat/>
    <w:rsid w:val="00CA2D84"/>
    <w:pPr>
      <w:keepNext/>
      <w:keepLines/>
      <w:spacing w:after="360" w:line="240" w:lineRule="auto"/>
      <w:outlineLvl w:val="0"/>
    </w:pPr>
    <w:rPr>
      <w:rFonts w:eastAsiaTheme="majorEastAsia" w:cstheme="majorBidi"/>
      <w:color w:val="262626" w:themeColor="text1" w:themeTint="D9"/>
      <w:sz w:val="48"/>
      <w:szCs w:val="44"/>
    </w:rPr>
  </w:style>
  <w:style w:type="paragraph" w:styleId="Heading2">
    <w:name w:val="heading 2"/>
    <w:basedOn w:val="Normal"/>
    <w:next w:val="Normal"/>
    <w:link w:val="Heading2Char"/>
    <w:uiPriority w:val="9"/>
    <w:unhideWhenUsed/>
    <w:qFormat/>
    <w:rsid w:val="004402B6"/>
    <w:pPr>
      <w:keepNext/>
      <w:keepLines/>
      <w:spacing w:before="480" w:after="240" w:line="240" w:lineRule="auto"/>
      <w:outlineLvl w:val="1"/>
    </w:pPr>
    <w:rPr>
      <w:rFonts w:eastAsiaTheme="majorEastAsia" w:cstheme="majorBidi"/>
      <w:bCs/>
      <w:color w:val="7F7F7F" w:themeColor="text1" w:themeTint="80"/>
      <w:sz w:val="32"/>
      <w:szCs w:val="26"/>
    </w:rPr>
  </w:style>
  <w:style w:type="paragraph" w:styleId="Heading3">
    <w:name w:val="heading 3"/>
    <w:basedOn w:val="Normal"/>
    <w:next w:val="Normal"/>
    <w:link w:val="Heading3Char"/>
    <w:unhideWhenUsed/>
    <w:qFormat/>
    <w:rsid w:val="00D018B2"/>
    <w:pPr>
      <w:keepNext/>
      <w:keepLines/>
      <w:spacing w:before="360" w:after="240" w:line="240" w:lineRule="auto"/>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986883"/>
    <w:pPr>
      <w:keepNext/>
      <w:keepLines/>
      <w:spacing w:before="240" w:after="240" w:line="240" w:lineRule="auto"/>
      <w:outlineLvl w:val="3"/>
    </w:pPr>
    <w:rPr>
      <w:rFonts w:eastAsiaTheme="majorEastAsia" w:cstheme="majorBidi"/>
      <w:b/>
      <w:bCs/>
      <w:i/>
      <w:iCs/>
    </w:rPr>
  </w:style>
  <w:style w:type="paragraph" w:styleId="Heading5">
    <w:name w:val="heading 5"/>
    <w:basedOn w:val="Normal"/>
    <w:next w:val="Normal"/>
    <w:link w:val="Heading5Char"/>
    <w:uiPriority w:val="9"/>
    <w:rsid w:val="00272BA4"/>
    <w:pPr>
      <w:keepNext/>
      <w:keepLines/>
      <w:spacing w:before="200" w:line="240" w:lineRule="auto"/>
      <w:outlineLvl w:val="4"/>
    </w:pPr>
    <w:rPr>
      <w:rFonts w:ascii="Cambria" w:eastAsia="Times New Roman" w:hAnsi="Cambria" w:cs="Times New Roman"/>
      <w:b/>
      <w:i/>
    </w:rPr>
  </w:style>
  <w:style w:type="paragraph" w:styleId="Heading6">
    <w:name w:val="heading 6"/>
    <w:basedOn w:val="Normal"/>
    <w:next w:val="Normal"/>
    <w:link w:val="Heading6Char"/>
    <w:uiPriority w:val="9"/>
    <w:unhideWhenUsed/>
    <w:rsid w:val="00FF0721"/>
    <w:pPr>
      <w:keepNext/>
      <w:keepLines/>
      <w:spacing w:before="200" w:line="288" w:lineRule="auto"/>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unhideWhenUsed/>
    <w:rsid w:val="001F4D7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rsid w:val="00272BA4"/>
    <w:pPr>
      <w:keepNext/>
      <w:keepLines/>
      <w:spacing w:before="20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2D84"/>
    <w:rPr>
      <w:rFonts w:eastAsiaTheme="majorEastAsia" w:cstheme="majorBidi"/>
      <w:color w:val="262626" w:themeColor="text1" w:themeTint="D9"/>
      <w:sz w:val="48"/>
      <w:szCs w:val="44"/>
      <w:lang w:val="en-NZ"/>
    </w:rPr>
  </w:style>
  <w:style w:type="character" w:customStyle="1" w:styleId="Heading2Char">
    <w:name w:val="Heading 2 Char"/>
    <w:basedOn w:val="DefaultParagraphFont"/>
    <w:link w:val="Heading2"/>
    <w:uiPriority w:val="9"/>
    <w:rsid w:val="004402B6"/>
    <w:rPr>
      <w:rFonts w:eastAsiaTheme="majorEastAsia" w:cstheme="majorBidi"/>
      <w:bCs/>
      <w:color w:val="7F7F7F" w:themeColor="text1" w:themeTint="80"/>
      <w:sz w:val="32"/>
      <w:szCs w:val="26"/>
      <w:lang w:val="en-NZ"/>
    </w:rPr>
  </w:style>
  <w:style w:type="character" w:customStyle="1" w:styleId="Heading3Char">
    <w:name w:val="Heading 3 Char"/>
    <w:basedOn w:val="DefaultParagraphFont"/>
    <w:link w:val="Heading3"/>
    <w:rsid w:val="00D018B2"/>
    <w:rPr>
      <w:rFonts w:eastAsiaTheme="majorEastAsia" w:cstheme="majorBidi"/>
      <w:b/>
      <w:bCs/>
      <w:sz w:val="24"/>
      <w:lang w:val="en-NZ"/>
    </w:rPr>
  </w:style>
  <w:style w:type="character" w:customStyle="1" w:styleId="Heading4Char">
    <w:name w:val="Heading 4 Char"/>
    <w:basedOn w:val="DefaultParagraphFont"/>
    <w:link w:val="Heading4"/>
    <w:uiPriority w:val="9"/>
    <w:rsid w:val="00986883"/>
    <w:rPr>
      <w:rFonts w:eastAsiaTheme="majorEastAsia" w:cstheme="majorBidi"/>
      <w:b/>
      <w:bCs/>
      <w:i/>
      <w:iCs/>
      <w:sz w:val="21"/>
      <w:lang w:val="en-NZ"/>
    </w:rPr>
  </w:style>
  <w:style w:type="character" w:customStyle="1" w:styleId="Heading5Char">
    <w:name w:val="Heading 5 Char"/>
    <w:basedOn w:val="DefaultParagraphFont"/>
    <w:link w:val="Heading5"/>
    <w:uiPriority w:val="9"/>
    <w:rsid w:val="00272BA4"/>
    <w:rPr>
      <w:rFonts w:ascii="Cambria" w:eastAsia="Times New Roman" w:hAnsi="Cambria" w:cs="Times New Roman"/>
      <w:b/>
      <w:i/>
      <w:sz w:val="21"/>
      <w:lang w:val="en-NZ"/>
    </w:rPr>
  </w:style>
  <w:style w:type="character" w:customStyle="1" w:styleId="Heading9Char">
    <w:name w:val="Heading 9 Char"/>
    <w:basedOn w:val="DefaultParagraphFont"/>
    <w:link w:val="Heading9"/>
    <w:uiPriority w:val="9"/>
    <w:semiHidden/>
    <w:rsid w:val="00272BA4"/>
    <w:rPr>
      <w:rFonts w:ascii="Cambria" w:eastAsia="Times New Roman" w:hAnsi="Cambria" w:cs="Times New Roman"/>
      <w:i/>
      <w:iCs/>
      <w:color w:val="404040"/>
      <w:sz w:val="20"/>
      <w:szCs w:val="20"/>
      <w:lang w:val="en-NZ"/>
    </w:rPr>
  </w:style>
  <w:style w:type="paragraph" w:styleId="Header">
    <w:name w:val="header"/>
    <w:basedOn w:val="Normal"/>
    <w:link w:val="HeaderChar"/>
    <w:uiPriority w:val="99"/>
    <w:unhideWhenUsed/>
    <w:rsid w:val="00DA6B36"/>
    <w:pPr>
      <w:tabs>
        <w:tab w:val="center" w:pos="4513"/>
        <w:tab w:val="right" w:pos="9026"/>
      </w:tabs>
      <w:spacing w:line="240" w:lineRule="auto"/>
    </w:pPr>
  </w:style>
  <w:style w:type="character" w:customStyle="1" w:styleId="HeaderChar">
    <w:name w:val="Header Char"/>
    <w:basedOn w:val="DefaultParagraphFont"/>
    <w:link w:val="Header"/>
    <w:uiPriority w:val="99"/>
    <w:rsid w:val="00DA6B36"/>
    <w:rPr>
      <w:lang w:val="en-NZ"/>
    </w:rPr>
  </w:style>
  <w:style w:type="paragraph" w:styleId="Footer">
    <w:name w:val="footer"/>
    <w:basedOn w:val="Normal"/>
    <w:link w:val="FooterChar"/>
    <w:uiPriority w:val="99"/>
    <w:unhideWhenUsed/>
    <w:rsid w:val="00DA6B36"/>
    <w:pPr>
      <w:tabs>
        <w:tab w:val="center" w:pos="4513"/>
        <w:tab w:val="right" w:pos="9026"/>
      </w:tabs>
      <w:spacing w:line="240" w:lineRule="auto"/>
    </w:pPr>
  </w:style>
  <w:style w:type="character" w:customStyle="1" w:styleId="FooterChar">
    <w:name w:val="Footer Char"/>
    <w:basedOn w:val="DefaultParagraphFont"/>
    <w:link w:val="Footer"/>
    <w:uiPriority w:val="99"/>
    <w:rsid w:val="00DA6B36"/>
    <w:rPr>
      <w:lang w:val="en-NZ"/>
    </w:rPr>
  </w:style>
  <w:style w:type="paragraph" w:styleId="BalloonText">
    <w:name w:val="Balloon Text"/>
    <w:basedOn w:val="Normal"/>
    <w:link w:val="BalloonTextChar"/>
    <w:uiPriority w:val="99"/>
    <w:semiHidden/>
    <w:unhideWhenUsed/>
    <w:rsid w:val="00DA6B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B36"/>
    <w:rPr>
      <w:rFonts w:ascii="Tahoma" w:hAnsi="Tahoma" w:cs="Tahoma"/>
      <w:sz w:val="16"/>
      <w:szCs w:val="16"/>
      <w:lang w:val="en-NZ"/>
    </w:rPr>
  </w:style>
  <w:style w:type="paragraph" w:styleId="Title">
    <w:name w:val="Title"/>
    <w:basedOn w:val="Normal"/>
    <w:next w:val="Normal"/>
    <w:link w:val="TitleChar"/>
    <w:uiPriority w:val="10"/>
    <w:rsid w:val="00986883"/>
    <w:pPr>
      <w:spacing w:line="240" w:lineRule="auto"/>
      <w:contextualSpacing/>
      <w:jc w:val="right"/>
    </w:pPr>
    <w:rPr>
      <w:rFonts w:ascii="Calibri" w:eastAsiaTheme="majorEastAsia" w:hAnsi="Calibri" w:cstheme="majorBidi"/>
      <w:caps/>
      <w:color w:val="7F7F7F" w:themeColor="text1" w:themeTint="80"/>
      <w:spacing w:val="5"/>
      <w:kern w:val="28"/>
      <w:sz w:val="52"/>
      <w:szCs w:val="52"/>
    </w:rPr>
  </w:style>
  <w:style w:type="character" w:customStyle="1" w:styleId="TitleChar">
    <w:name w:val="Title Char"/>
    <w:basedOn w:val="DefaultParagraphFont"/>
    <w:link w:val="Title"/>
    <w:uiPriority w:val="10"/>
    <w:rsid w:val="00986883"/>
    <w:rPr>
      <w:rFonts w:ascii="Calibri" w:eastAsiaTheme="majorEastAsia" w:hAnsi="Calibri" w:cstheme="majorBidi"/>
      <w:caps/>
      <w:color w:val="7F7F7F" w:themeColor="text1" w:themeTint="80"/>
      <w:spacing w:val="5"/>
      <w:kern w:val="28"/>
      <w:sz w:val="52"/>
      <w:szCs w:val="52"/>
      <w:lang w:val="en-NZ"/>
    </w:rPr>
  </w:style>
  <w:style w:type="paragraph" w:styleId="Quote">
    <w:name w:val="Quote"/>
    <w:basedOn w:val="Normal"/>
    <w:next w:val="Normal"/>
    <w:link w:val="QuoteChar"/>
    <w:uiPriority w:val="29"/>
    <w:qFormat/>
    <w:rsid w:val="00300C4C"/>
    <w:pPr>
      <w:spacing w:line="288" w:lineRule="auto"/>
      <w:ind w:left="567" w:right="567"/>
    </w:pPr>
    <w:rPr>
      <w:i/>
      <w:iCs/>
      <w:sz w:val="20"/>
    </w:rPr>
  </w:style>
  <w:style w:type="character" w:customStyle="1" w:styleId="QuoteChar">
    <w:name w:val="Quote Char"/>
    <w:basedOn w:val="DefaultParagraphFont"/>
    <w:link w:val="Quote"/>
    <w:uiPriority w:val="29"/>
    <w:rsid w:val="00300C4C"/>
    <w:rPr>
      <w:i/>
      <w:iCs/>
      <w:sz w:val="20"/>
      <w:lang w:val="en-NZ"/>
    </w:rPr>
  </w:style>
  <w:style w:type="paragraph" w:styleId="ListParagraph">
    <w:name w:val="List Paragraph"/>
    <w:basedOn w:val="Normal"/>
    <w:uiPriority w:val="99"/>
    <w:qFormat/>
    <w:rsid w:val="00F52504"/>
    <w:pPr>
      <w:numPr>
        <w:numId w:val="8"/>
      </w:numPr>
      <w:contextualSpacing/>
    </w:pPr>
    <w:rPr>
      <w:sz w:val="20"/>
      <w:szCs w:val="21"/>
      <w:lang w:val="en-GB"/>
    </w:rPr>
  </w:style>
  <w:style w:type="table" w:customStyle="1" w:styleId="LightShading1">
    <w:name w:val="Light Shading1"/>
    <w:basedOn w:val="TableNormal"/>
    <w:uiPriority w:val="60"/>
    <w:rsid w:val="00855FC1"/>
    <w:pPr>
      <w:spacing w:after="0" w:line="240" w:lineRule="auto"/>
    </w:pPr>
    <w:rPr>
      <w:color w:val="000000" w:themeColor="text1" w:themeShade="BF"/>
      <w:sz w:val="19"/>
    </w:rPr>
    <w:tblPr>
      <w:tblStyleRowBandSize w:val="1"/>
      <w:tblStyleColBandSize w:val="1"/>
      <w:tblBorders>
        <w:top w:val="single" w:sz="8" w:space="0" w:color="000000" w:themeColor="text1"/>
        <w:bottom w:val="single" w:sz="8" w:space="0" w:color="000000" w:themeColor="text1"/>
        <w:insideH w:val="dotted" w:sz="4" w:space="0" w:color="7F7F7F" w:themeColor="text1" w:themeTint="80"/>
        <w:insideV w:val="dotted" w:sz="4" w:space="0" w:color="7F7F7F" w:themeColor="text1" w:themeTint="80"/>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F2F2F2" w:themeFill="background1" w:themeFillShade="F2"/>
      </w:tcPr>
    </w:tblStylePr>
  </w:style>
  <w:style w:type="character" w:styleId="Hyperlink">
    <w:name w:val="Hyperlink"/>
    <w:basedOn w:val="DefaultParagraphFont"/>
    <w:uiPriority w:val="99"/>
    <w:rsid w:val="00893470"/>
    <w:rPr>
      <w:rFonts w:asciiTheme="minorHAnsi" w:hAnsiTheme="minorHAnsi"/>
      <w:color w:val="34B6E4"/>
      <w:sz w:val="21"/>
      <w:u w:val="none"/>
    </w:rPr>
  </w:style>
  <w:style w:type="paragraph" w:styleId="NormalWeb">
    <w:name w:val="Normal (Web)"/>
    <w:basedOn w:val="Normal"/>
    <w:link w:val="NormalWebChar"/>
    <w:uiPriority w:val="99"/>
    <w:rsid w:val="00272BA4"/>
    <w:pPr>
      <w:spacing w:before="100" w:beforeAutospacing="1" w:after="100" w:afterAutospacing="1" w:line="240" w:lineRule="auto"/>
    </w:pPr>
    <w:rPr>
      <w:rFonts w:ascii="Arial" w:eastAsia="Times New Roman" w:hAnsi="Arial" w:cs="Arial"/>
      <w:color w:val="000000"/>
      <w:sz w:val="20"/>
      <w:szCs w:val="20"/>
      <w:lang w:val="en-US"/>
    </w:rPr>
  </w:style>
  <w:style w:type="character" w:customStyle="1" w:styleId="NormalWebChar">
    <w:name w:val="Normal (Web) Char"/>
    <w:basedOn w:val="DefaultParagraphFont"/>
    <w:link w:val="NormalWeb"/>
    <w:uiPriority w:val="99"/>
    <w:rsid w:val="00272BA4"/>
    <w:rPr>
      <w:rFonts w:ascii="Arial" w:eastAsia="Times New Roman" w:hAnsi="Arial" w:cs="Arial"/>
      <w:color w:val="000000"/>
      <w:sz w:val="20"/>
      <w:szCs w:val="20"/>
      <w:lang w:val="en-US"/>
    </w:rPr>
  </w:style>
  <w:style w:type="character" w:customStyle="1" w:styleId="bodytext1">
    <w:name w:val="bodytext1"/>
    <w:basedOn w:val="DefaultParagraphFont"/>
    <w:rsid w:val="00272BA4"/>
    <w:rPr>
      <w:rFonts w:ascii="Verdana" w:hAnsi="Verdana" w:cs="Arial" w:hint="default"/>
      <w:color w:val="333333"/>
      <w:sz w:val="16"/>
      <w:szCs w:val="16"/>
    </w:rPr>
  </w:style>
  <w:style w:type="table" w:styleId="TableGrid">
    <w:name w:val="Table Grid"/>
    <w:aliases w:val="Header table"/>
    <w:basedOn w:val="TableNormal"/>
    <w:uiPriority w:val="59"/>
    <w:rsid w:val="00855F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wordWrap/>
        <w:spacing w:beforeLines="0" w:beforeAutospacing="0" w:afterLines="0" w:afterAutospacing="0"/>
      </w:pPr>
    </w:tblStylePr>
  </w:style>
  <w:style w:type="paragraph" w:styleId="FootnoteText">
    <w:name w:val="footnote text"/>
    <w:basedOn w:val="Normal"/>
    <w:link w:val="FootnoteTextChar"/>
    <w:uiPriority w:val="99"/>
    <w:unhideWhenUsed/>
    <w:rsid w:val="00272BA4"/>
    <w:pPr>
      <w:spacing w:line="240" w:lineRule="auto"/>
    </w:pPr>
    <w:rPr>
      <w:i/>
      <w:color w:val="404040" w:themeColor="text1" w:themeTint="BF"/>
      <w:sz w:val="20"/>
      <w:szCs w:val="20"/>
    </w:rPr>
  </w:style>
  <w:style w:type="character" w:customStyle="1" w:styleId="FootnoteTextChar">
    <w:name w:val="Footnote Text Char"/>
    <w:basedOn w:val="DefaultParagraphFont"/>
    <w:link w:val="FootnoteText"/>
    <w:uiPriority w:val="99"/>
    <w:rsid w:val="00272BA4"/>
    <w:rPr>
      <w:i/>
      <w:color w:val="404040" w:themeColor="text1" w:themeTint="BF"/>
      <w:sz w:val="20"/>
      <w:szCs w:val="20"/>
      <w:lang w:val="en-NZ"/>
    </w:rPr>
  </w:style>
  <w:style w:type="character" w:styleId="FootnoteReference">
    <w:name w:val="footnote reference"/>
    <w:basedOn w:val="DefaultParagraphFont"/>
    <w:uiPriority w:val="99"/>
    <w:unhideWhenUsed/>
    <w:rsid w:val="00272BA4"/>
    <w:rPr>
      <w:vertAlign w:val="superscript"/>
    </w:rPr>
  </w:style>
  <w:style w:type="character" w:styleId="SubtleEmphasis">
    <w:name w:val="Subtle Emphasis"/>
    <w:basedOn w:val="DefaultParagraphFont"/>
    <w:uiPriority w:val="19"/>
    <w:rsid w:val="00272BA4"/>
    <w:rPr>
      <w:i/>
      <w:iCs/>
      <w:color w:val="404040" w:themeColor="text1" w:themeTint="BF"/>
    </w:rPr>
  </w:style>
  <w:style w:type="paragraph" w:customStyle="1" w:styleId="Default">
    <w:name w:val="Default"/>
    <w:rsid w:val="00272BA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TableContemporary">
    <w:name w:val="Table Contemporary"/>
    <w:aliases w:val="KS Table"/>
    <w:basedOn w:val="TableNormal"/>
    <w:rsid w:val="00EB0CC2"/>
    <w:pPr>
      <w:spacing w:after="0" w:line="264" w:lineRule="auto"/>
    </w:pPr>
    <w:rPr>
      <w:rFonts w:ascii="Calibri" w:eastAsia="Times New Roman" w:hAnsi="Calibri" w:cs="Times New Roman"/>
      <w:sz w:val="19"/>
      <w:szCs w:val="20"/>
      <w:lang w:val="en-US"/>
    </w:rPr>
    <w:tblPr>
      <w:tblStyleRowBandSize w:val="1"/>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7F7F7F" w:themeColor="text1" w:themeTint="80"/>
        <w:insideV w:val="dotted" w:sz="4" w:space="0" w:color="7F7F7F" w:themeColor="text1" w:themeTint="80"/>
      </w:tblBorders>
    </w:tblPr>
    <w:tblStylePr w:type="firstRow">
      <w:rPr>
        <w:b/>
        <w:bCs/>
        <w:color w:val="auto"/>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band1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rPr>
        <w:color w:val="auto"/>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styleId="Strong">
    <w:name w:val="Strong"/>
    <w:basedOn w:val="DefaultParagraphFont"/>
    <w:uiPriority w:val="22"/>
    <w:rsid w:val="00272BA4"/>
    <w:rPr>
      <w:b/>
      <w:bCs/>
    </w:rPr>
  </w:style>
  <w:style w:type="table" w:customStyle="1" w:styleId="MediumShading21">
    <w:name w:val="Medium Shading 21"/>
    <w:basedOn w:val="TableNormal"/>
    <w:uiPriority w:val="64"/>
    <w:rsid w:val="00272BA4"/>
    <w:pPr>
      <w:spacing w:after="0" w:line="240"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Calibri" w:hAnsi="Calibri"/>
        <w:b/>
        <w:bCs/>
        <w:i w:val="0"/>
        <w:color w:val="FFFFFF"/>
        <w:sz w:val="20"/>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rPr>
        <w:rFonts w:ascii="Calibri" w:hAnsi="Calibri"/>
        <w:b w:val="0"/>
        <w:i w:val="0"/>
        <w:sz w:val="20"/>
      </w:rPr>
      <w:tblPr/>
      <w:tcPr>
        <w:tcBorders>
          <w:top w:val="nil"/>
          <w:left w:val="nil"/>
          <w:bottom w:val="nil"/>
          <w:right w:val="nil"/>
          <w:insideH w:val="nil"/>
          <w:insideV w:val="nil"/>
          <w:tl2br w:val="nil"/>
          <w:tr2bl w:val="nil"/>
        </w:tcBorders>
        <w:shd w:val="clear" w:color="auto" w:fill="F2F2F2"/>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rsid w:val="00565FFD"/>
    <w:pPr>
      <w:tabs>
        <w:tab w:val="right" w:leader="dot" w:pos="9061"/>
      </w:tabs>
      <w:spacing w:after="100" w:line="240" w:lineRule="auto"/>
    </w:pPr>
    <w:rPr>
      <w:rFonts w:eastAsia="Calibri" w:cstheme="minorHAnsi"/>
      <w:b/>
      <w:noProof/>
      <w:sz w:val="22"/>
      <w:szCs w:val="20"/>
    </w:rPr>
  </w:style>
  <w:style w:type="paragraph" w:styleId="TOC2">
    <w:name w:val="toc 2"/>
    <w:basedOn w:val="Normal"/>
    <w:next w:val="Normal"/>
    <w:autoRedefine/>
    <w:uiPriority w:val="39"/>
    <w:unhideWhenUsed/>
    <w:rsid w:val="000A7001"/>
    <w:pPr>
      <w:tabs>
        <w:tab w:val="right" w:leader="dot" w:pos="9344"/>
      </w:tabs>
      <w:spacing w:after="60" w:line="240" w:lineRule="auto"/>
      <w:ind w:left="221"/>
    </w:pPr>
    <w:rPr>
      <w:rFonts w:ascii="Calibri" w:eastAsia="Calibri" w:hAnsi="Calibri" w:cs="Times New Roman"/>
      <w:noProof/>
      <w:sz w:val="20"/>
    </w:rPr>
  </w:style>
  <w:style w:type="paragraph" w:styleId="TOC3">
    <w:name w:val="toc 3"/>
    <w:basedOn w:val="Normal"/>
    <w:next w:val="Normal"/>
    <w:autoRedefine/>
    <w:uiPriority w:val="39"/>
    <w:unhideWhenUsed/>
    <w:rsid w:val="00565FFD"/>
    <w:pPr>
      <w:tabs>
        <w:tab w:val="right" w:leader="dot" w:pos="9344"/>
      </w:tabs>
      <w:spacing w:after="60" w:line="240" w:lineRule="auto"/>
      <w:ind w:left="442"/>
    </w:pPr>
    <w:rPr>
      <w:rFonts w:ascii="Calibri" w:eastAsia="Calibri" w:hAnsi="Calibri" w:cs="Times New Roman"/>
      <w:noProof/>
      <w:sz w:val="20"/>
    </w:rPr>
  </w:style>
  <w:style w:type="character" w:customStyle="1" w:styleId="titletext1">
    <w:name w:val="titletext1"/>
    <w:basedOn w:val="DefaultParagraphFont"/>
    <w:rsid w:val="00272BA4"/>
    <w:rPr>
      <w:rFonts w:ascii="Verdana" w:hAnsi="Verdana" w:hint="default"/>
      <w:b/>
      <w:bCs/>
      <w:color w:val="333333"/>
      <w:sz w:val="18"/>
      <w:szCs w:val="18"/>
    </w:rPr>
  </w:style>
  <w:style w:type="paragraph" w:customStyle="1" w:styleId="base-text-paragraph">
    <w:name w:val="base-text-paragraph"/>
    <w:link w:val="base-text-paragraphChar"/>
    <w:rsid w:val="00272BA4"/>
    <w:pPr>
      <w:tabs>
        <w:tab w:val="left" w:pos="1987"/>
      </w:tabs>
      <w:spacing w:before="120" w:after="120" w:line="240" w:lineRule="auto"/>
      <w:ind w:left="1140"/>
    </w:pPr>
    <w:rPr>
      <w:rFonts w:ascii="Arial Narrow" w:eastAsia="SimSun" w:hAnsi="Arial Narrow" w:cs="Times New Roman"/>
      <w:szCs w:val="24"/>
      <w:lang w:eastAsia="en-AU"/>
    </w:rPr>
  </w:style>
  <w:style w:type="character" w:customStyle="1" w:styleId="base-text-paragraphChar">
    <w:name w:val="base-text-paragraph Char"/>
    <w:basedOn w:val="DefaultParagraphFont"/>
    <w:link w:val="base-text-paragraph"/>
    <w:rsid w:val="00272BA4"/>
    <w:rPr>
      <w:rFonts w:ascii="Arial Narrow" w:eastAsia="SimSun" w:hAnsi="Arial Narrow" w:cs="Times New Roman"/>
      <w:szCs w:val="24"/>
      <w:lang w:eastAsia="en-AU"/>
    </w:rPr>
  </w:style>
  <w:style w:type="paragraph" w:customStyle="1" w:styleId="base-text-paragraphnonumbers">
    <w:name w:val="base-text-paragraph no numbers"/>
    <w:basedOn w:val="Normal"/>
    <w:rsid w:val="00272BA4"/>
    <w:pPr>
      <w:spacing w:before="120" w:after="120" w:line="240" w:lineRule="auto"/>
      <w:ind w:left="1134"/>
    </w:pPr>
    <w:rPr>
      <w:rFonts w:ascii="Times New Roman" w:eastAsia="Times New Roman" w:hAnsi="Times New Roman" w:cs="Times New Roman"/>
      <w:szCs w:val="20"/>
      <w:lang w:val="en-AU" w:eastAsia="en-AU"/>
    </w:rPr>
  </w:style>
  <w:style w:type="paragraph" w:customStyle="1" w:styleId="dotpoint">
    <w:name w:val="dot point"/>
    <w:basedOn w:val="Normal"/>
    <w:link w:val="dotpointChar"/>
    <w:rsid w:val="00272BA4"/>
    <w:pPr>
      <w:numPr>
        <w:numId w:val="1"/>
      </w:numPr>
      <w:spacing w:before="120" w:after="120" w:line="240" w:lineRule="auto"/>
    </w:pPr>
    <w:rPr>
      <w:rFonts w:ascii="Times New Roman" w:eastAsia="Times New Roman" w:hAnsi="Times New Roman" w:cs="Times New Roman"/>
      <w:szCs w:val="20"/>
      <w:lang w:val="en-AU" w:eastAsia="en-AU"/>
    </w:rPr>
  </w:style>
  <w:style w:type="character" w:customStyle="1" w:styleId="dotpointChar">
    <w:name w:val="dot point Char"/>
    <w:basedOn w:val="DefaultParagraphFont"/>
    <w:link w:val="dotpoint"/>
    <w:rsid w:val="00272BA4"/>
    <w:rPr>
      <w:rFonts w:ascii="Times New Roman" w:eastAsia="Times New Roman" w:hAnsi="Times New Roman" w:cs="Times New Roman"/>
      <w:color w:val="000000" w:themeColor="text1"/>
      <w:sz w:val="21"/>
      <w:szCs w:val="20"/>
      <w:lang w:eastAsia="en-AU"/>
    </w:rPr>
  </w:style>
  <w:style w:type="paragraph" w:customStyle="1" w:styleId="dotpoint2">
    <w:name w:val="dot point 2"/>
    <w:basedOn w:val="Normal"/>
    <w:rsid w:val="00272BA4"/>
    <w:pPr>
      <w:numPr>
        <w:ilvl w:val="1"/>
        <w:numId w:val="1"/>
      </w:numPr>
      <w:spacing w:before="120" w:after="120" w:line="240" w:lineRule="auto"/>
    </w:pPr>
    <w:rPr>
      <w:rFonts w:ascii="Times New Roman" w:eastAsia="Times New Roman" w:hAnsi="Times New Roman" w:cs="Times New Roman"/>
      <w:szCs w:val="20"/>
      <w:lang w:val="en-AU" w:eastAsia="en-AU"/>
    </w:rPr>
  </w:style>
  <w:style w:type="paragraph" w:customStyle="1" w:styleId="Heading2with18pointafter">
    <w:name w:val="Heading 2 with 18 point after"/>
    <w:basedOn w:val="Heading2"/>
    <w:next w:val="Normal"/>
    <w:rsid w:val="00272BA4"/>
    <w:pPr>
      <w:keepLines w:val="0"/>
      <w:spacing w:after="360"/>
    </w:pPr>
    <w:rPr>
      <w:rFonts w:ascii="Helvetica" w:eastAsia="Times New Roman" w:hAnsi="Helvetica" w:cs="Times New Roman"/>
      <w:b/>
      <w:bCs w:val="0"/>
      <w:color w:val="auto"/>
      <w:sz w:val="26"/>
      <w:szCs w:val="20"/>
      <w:lang w:val="en-AU" w:eastAsia="en-AU"/>
    </w:rPr>
  </w:style>
  <w:style w:type="paragraph" w:customStyle="1" w:styleId="tabletext">
    <w:name w:val="table text"/>
    <w:basedOn w:val="Normal"/>
    <w:rsid w:val="00272BA4"/>
    <w:pPr>
      <w:spacing w:before="40" w:after="40" w:line="240" w:lineRule="auto"/>
    </w:pPr>
    <w:rPr>
      <w:rFonts w:ascii="Times New Roman" w:eastAsia="Times New Roman" w:hAnsi="Times New Roman" w:cs="Times New Roman"/>
      <w:sz w:val="20"/>
      <w:szCs w:val="20"/>
      <w:lang w:val="en-AU" w:eastAsia="en-AU"/>
    </w:rPr>
  </w:style>
  <w:style w:type="paragraph" w:customStyle="1" w:styleId="tableheaderwithintable">
    <w:name w:val="table header (within table)"/>
    <w:basedOn w:val="Heading4"/>
    <w:rsid w:val="00272BA4"/>
    <w:pPr>
      <w:keepLines w:val="0"/>
      <w:spacing w:before="60" w:after="60"/>
      <w:jc w:val="center"/>
    </w:pPr>
    <w:rPr>
      <w:rFonts w:ascii="Times New Roman" w:eastAsia="Times New Roman" w:hAnsi="Times New Roman" w:cs="Times New Roman"/>
      <w:bCs w:val="0"/>
      <w:iCs w:val="0"/>
      <w:color w:val="404040" w:themeColor="text1" w:themeTint="BF"/>
      <w:sz w:val="20"/>
      <w:szCs w:val="20"/>
      <w:lang w:val="en-AU" w:eastAsia="en-AU"/>
    </w:rPr>
  </w:style>
  <w:style w:type="paragraph" w:customStyle="1" w:styleId="exampletext">
    <w:name w:val="example text"/>
    <w:basedOn w:val="Normal"/>
    <w:rsid w:val="00272BA4"/>
    <w:pPr>
      <w:spacing w:before="120" w:after="120" w:line="240" w:lineRule="auto"/>
      <w:ind w:left="1985"/>
    </w:pPr>
    <w:rPr>
      <w:rFonts w:ascii="Times New Roman" w:eastAsia="Times New Roman" w:hAnsi="Times New Roman" w:cs="Times New Roman"/>
      <w:sz w:val="20"/>
      <w:szCs w:val="20"/>
      <w:lang w:val="en-AU" w:eastAsia="en-AU"/>
    </w:rPr>
  </w:style>
  <w:style w:type="paragraph" w:customStyle="1" w:styleId="ExampleHeading">
    <w:name w:val="Example Heading"/>
    <w:basedOn w:val="Normal"/>
    <w:next w:val="exampletext"/>
    <w:link w:val="ExampleHeadingChar"/>
    <w:rsid w:val="00272BA4"/>
    <w:pPr>
      <w:keepNext/>
      <w:spacing w:before="120" w:after="120" w:line="240" w:lineRule="auto"/>
      <w:ind w:left="1440"/>
    </w:pPr>
    <w:rPr>
      <w:rFonts w:ascii="Times New Roman" w:eastAsia="Times New Roman" w:hAnsi="Times New Roman" w:cs="Times New Roman"/>
      <w:b/>
      <w:szCs w:val="20"/>
      <w:lang w:val="en-AU" w:eastAsia="en-AU"/>
    </w:rPr>
  </w:style>
  <w:style w:type="character" w:customStyle="1" w:styleId="ExampleHeadingChar">
    <w:name w:val="Example Heading Char"/>
    <w:basedOn w:val="DefaultParagraphFont"/>
    <w:link w:val="ExampleHeading"/>
    <w:rsid w:val="00272BA4"/>
    <w:rPr>
      <w:rFonts w:ascii="Times New Roman" w:eastAsia="Times New Roman" w:hAnsi="Times New Roman" w:cs="Times New Roman"/>
      <w:b/>
      <w:sz w:val="21"/>
      <w:szCs w:val="20"/>
      <w:lang w:eastAsia="en-AU"/>
    </w:rPr>
  </w:style>
  <w:style w:type="table" w:customStyle="1" w:styleId="MediumShading11">
    <w:name w:val="Medium Shading 11"/>
    <w:basedOn w:val="TableNormal"/>
    <w:uiPriority w:val="63"/>
    <w:rsid w:val="00272BA4"/>
    <w:pPr>
      <w:spacing w:after="0" w:line="240" w:lineRule="auto"/>
    </w:pPr>
    <w:rPr>
      <w:rFonts w:ascii="Calibri" w:eastAsia="Calibri" w:hAnsi="Calibri" w:cs="Times New Roman"/>
      <w:sz w:val="20"/>
      <w:szCs w:val="20"/>
      <w:lang w:val="en-US"/>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tcBorders>
          <w:insideH w:val="nil"/>
          <w:insideV w:val="nil"/>
        </w:tcBorders>
      </w:tcPr>
    </w:tblStylePr>
  </w:style>
  <w:style w:type="paragraph" w:styleId="BodyText3">
    <w:name w:val="Body Text 3"/>
    <w:basedOn w:val="Normal"/>
    <w:link w:val="BodyText3Char"/>
    <w:rsid w:val="00272BA4"/>
    <w:pPr>
      <w:spacing w:before="100" w:beforeAutospacing="1" w:after="100" w:afterAutospacing="1" w:line="240" w:lineRule="auto"/>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272BA4"/>
    <w:rPr>
      <w:rFonts w:ascii="Times New Roman" w:eastAsia="Times New Roman" w:hAnsi="Times New Roman" w:cs="Times New Roman"/>
      <w:sz w:val="21"/>
      <w:szCs w:val="24"/>
      <w:lang w:val="en-NZ"/>
    </w:rPr>
  </w:style>
  <w:style w:type="table" w:customStyle="1" w:styleId="KSStyle">
    <w:name w:val="KS Style"/>
    <w:basedOn w:val="TableNormal"/>
    <w:uiPriority w:val="99"/>
    <w:qFormat/>
    <w:rsid w:val="00994A17"/>
    <w:pPr>
      <w:spacing w:after="0" w:line="240" w:lineRule="auto"/>
    </w:pPr>
    <w:rPr>
      <w:rFonts w:ascii="Calibri" w:eastAsia="Calibri" w:hAnsi="Calibri" w:cs="Times New Roman"/>
      <w:sz w:val="20"/>
      <w:szCs w:val="20"/>
      <w:lang w:val="en-US"/>
    </w:rPr>
    <w:tblPr>
      <w:tblStyleRowBandSize w:val="1"/>
      <w:tblBorders>
        <w:top w:val="single" w:sz="4" w:space="0" w:color="auto"/>
        <w:bottom w:val="single" w:sz="4" w:space="0" w:color="auto"/>
        <w:insideH w:val="dotted" w:sz="4" w:space="0" w:color="808080" w:themeColor="background1" w:themeShade="80"/>
        <w:insideV w:val="dotted" w:sz="4" w:space="0" w:color="808080" w:themeColor="background1" w:themeShade="80"/>
      </w:tblBorders>
    </w:tblPr>
    <w:tblStylePr w:type="firstRow">
      <w:rPr>
        <w:rFonts w:ascii="Calibri" w:hAnsi="Calibri"/>
        <w:b/>
        <w:i w:val="0"/>
        <w:color w:val="auto"/>
        <w:sz w:val="20"/>
      </w:rPr>
      <w:tblPr/>
      <w:tcPr>
        <w:tcBorders>
          <w:bottom w:val="single" w:sz="8" w:space="0" w:color="000000" w:themeColor="text1"/>
        </w:tcBorders>
      </w:tcPr>
    </w:tblStylePr>
    <w:tblStylePr w:type="band1Horz">
      <w:rPr>
        <w:rFonts w:ascii="Calibri" w:hAnsi="Calibri"/>
        <w:b w:val="0"/>
        <w:i w:val="0"/>
        <w:color w:val="auto"/>
        <w:sz w:val="20"/>
      </w:rPr>
      <w:tblPr/>
      <w:tcPr>
        <w:tcBorders>
          <w:top w:val="nil"/>
          <w:left w:val="nil"/>
          <w:bottom w:val="nil"/>
          <w:right w:val="nil"/>
          <w:insideH w:val="nil"/>
          <w:insideV w:val="nil"/>
          <w:tl2br w:val="nil"/>
          <w:tr2bl w:val="nil"/>
        </w:tcBorders>
        <w:shd w:val="clear" w:color="auto" w:fill="F2F2F2"/>
      </w:tcPr>
    </w:tblStylePr>
    <w:tblStylePr w:type="band2Horz">
      <w:rPr>
        <w:rFonts w:ascii="Calibri" w:hAnsi="Calibri"/>
        <w:b w:val="0"/>
        <w:i w:val="0"/>
        <w:color w:val="auto"/>
        <w:sz w:val="20"/>
      </w:rPr>
    </w:tblStylePr>
  </w:style>
  <w:style w:type="character" w:styleId="Emphasis">
    <w:name w:val="Emphasis"/>
    <w:basedOn w:val="DefaultParagraphFont"/>
    <w:uiPriority w:val="20"/>
    <w:rsid w:val="00272BA4"/>
    <w:rPr>
      <w:i/>
      <w:iCs/>
    </w:rPr>
  </w:style>
  <w:style w:type="paragraph" w:styleId="TOCHeading">
    <w:name w:val="TOC Heading"/>
    <w:basedOn w:val="Heading1"/>
    <w:next w:val="Normal"/>
    <w:uiPriority w:val="39"/>
    <w:rsid w:val="00D14A02"/>
    <w:pPr>
      <w:spacing w:after="0" w:line="276" w:lineRule="auto"/>
      <w:outlineLvl w:val="9"/>
    </w:pPr>
    <w:rPr>
      <w:rFonts w:ascii="Cambria" w:eastAsia="Times New Roman" w:hAnsi="Cambria" w:cs="Times New Roman"/>
      <w:b/>
      <w:caps/>
      <w:color w:val="365F91"/>
      <w:sz w:val="28"/>
      <w:lang w:val="en-US"/>
    </w:rPr>
  </w:style>
  <w:style w:type="character" w:customStyle="1" w:styleId="highlight">
    <w:name w:val="highlight"/>
    <w:basedOn w:val="DefaultParagraphFont"/>
    <w:rsid w:val="00272BA4"/>
    <w:rPr>
      <w:b/>
      <w:bCs/>
      <w:color w:val="990000"/>
      <w:shd w:val="clear" w:color="auto" w:fill="FFFFCC"/>
    </w:rPr>
  </w:style>
  <w:style w:type="character" w:customStyle="1" w:styleId="Style12pt">
    <w:name w:val="Style 12 pt"/>
    <w:basedOn w:val="DefaultParagraphFont"/>
    <w:rsid w:val="00272BA4"/>
    <w:rPr>
      <w:sz w:val="22"/>
    </w:rPr>
  </w:style>
  <w:style w:type="character" w:customStyle="1" w:styleId="CharSectno">
    <w:name w:val="CharSectno"/>
    <w:basedOn w:val="DefaultParagraphFont"/>
    <w:rsid w:val="00272BA4"/>
  </w:style>
  <w:style w:type="character" w:customStyle="1" w:styleId="CharSubdNo">
    <w:name w:val="CharSubdNo"/>
    <w:basedOn w:val="DefaultParagraphFont"/>
    <w:rsid w:val="00272BA4"/>
  </w:style>
  <w:style w:type="character" w:customStyle="1" w:styleId="CharSubdText">
    <w:name w:val="CharSubdText"/>
    <w:basedOn w:val="DefaultParagraphFont"/>
    <w:rsid w:val="00272BA4"/>
  </w:style>
  <w:style w:type="paragraph" w:customStyle="1" w:styleId="Formula">
    <w:name w:val="Formula"/>
    <w:rsid w:val="00272BA4"/>
    <w:pPr>
      <w:spacing w:after="0" w:line="240" w:lineRule="auto"/>
      <w:ind w:left="1134"/>
    </w:pPr>
    <w:rPr>
      <w:rFonts w:ascii="Times New Roman" w:eastAsia="Times New Roman" w:hAnsi="Times New Roman" w:cs="Times New Roman"/>
      <w:sz w:val="20"/>
      <w:szCs w:val="24"/>
      <w:lang w:eastAsia="en-AU"/>
    </w:rPr>
  </w:style>
  <w:style w:type="paragraph" w:customStyle="1" w:styleId="paragraph">
    <w:name w:val="paragraph"/>
    <w:aliases w:val="a"/>
    <w:rsid w:val="00272BA4"/>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paragraphsub">
    <w:name w:val="paragraph(sub)"/>
    <w:aliases w:val="aa"/>
    <w:basedOn w:val="paragraph"/>
    <w:uiPriority w:val="99"/>
    <w:rsid w:val="00272BA4"/>
    <w:pPr>
      <w:tabs>
        <w:tab w:val="clear" w:pos="1531"/>
        <w:tab w:val="right" w:pos="1985"/>
      </w:tabs>
      <w:ind w:left="2098" w:hanging="2098"/>
    </w:pPr>
  </w:style>
  <w:style w:type="paragraph" w:customStyle="1" w:styleId="subsection">
    <w:name w:val="subsection"/>
    <w:aliases w:val="ss"/>
    <w:rsid w:val="00272BA4"/>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Definition">
    <w:name w:val="Definition"/>
    <w:aliases w:val="dd"/>
    <w:basedOn w:val="subsection"/>
    <w:rsid w:val="00272BA4"/>
    <w:pPr>
      <w:tabs>
        <w:tab w:val="clear" w:pos="1021"/>
      </w:tabs>
      <w:ind w:firstLine="0"/>
    </w:pPr>
  </w:style>
  <w:style w:type="paragraph" w:customStyle="1" w:styleId="notetext">
    <w:name w:val="note(text)"/>
    <w:aliases w:val="n"/>
    <w:rsid w:val="00272BA4"/>
    <w:pPr>
      <w:spacing w:before="122" w:after="0" w:line="198" w:lineRule="exact"/>
      <w:ind w:left="1985" w:hanging="851"/>
    </w:pPr>
    <w:rPr>
      <w:rFonts w:ascii="Times New Roman" w:eastAsia="Times New Roman" w:hAnsi="Times New Roman" w:cs="Times New Roman"/>
      <w:sz w:val="18"/>
      <w:szCs w:val="24"/>
      <w:lang w:eastAsia="en-AU"/>
    </w:rPr>
  </w:style>
  <w:style w:type="paragraph" w:customStyle="1" w:styleId="noteparap">
    <w:name w:val="note(parap)"/>
    <w:aliases w:val="na,note(para)"/>
    <w:basedOn w:val="notetext"/>
    <w:rsid w:val="00272BA4"/>
    <w:pPr>
      <w:ind w:left="2353" w:hanging="709"/>
    </w:pPr>
  </w:style>
  <w:style w:type="paragraph" w:customStyle="1" w:styleId="subsection2">
    <w:name w:val="subsection2"/>
    <w:aliases w:val="ss2"/>
    <w:basedOn w:val="subsection"/>
    <w:next w:val="subsection"/>
    <w:rsid w:val="00272BA4"/>
    <w:pPr>
      <w:tabs>
        <w:tab w:val="clear" w:pos="1021"/>
      </w:tabs>
      <w:spacing w:before="40"/>
      <w:ind w:firstLine="0"/>
    </w:pPr>
  </w:style>
  <w:style w:type="paragraph" w:customStyle="1" w:styleId="SubsectionHead">
    <w:name w:val="SubsectionHead"/>
    <w:aliases w:val="ssh"/>
    <w:basedOn w:val="subsection"/>
    <w:next w:val="subsection"/>
    <w:rsid w:val="00272BA4"/>
    <w:pPr>
      <w:keepNext/>
      <w:keepLines/>
      <w:tabs>
        <w:tab w:val="clear" w:pos="1021"/>
      </w:tabs>
      <w:spacing w:before="240"/>
      <w:ind w:firstLine="0"/>
    </w:pPr>
    <w:rPr>
      <w:i/>
    </w:rPr>
  </w:style>
  <w:style w:type="paragraph" w:customStyle="1" w:styleId="ActHead4">
    <w:name w:val="ActHead 4"/>
    <w:aliases w:val="sd"/>
    <w:basedOn w:val="Normal"/>
    <w:next w:val="Normal"/>
    <w:rsid w:val="00272BA4"/>
    <w:pPr>
      <w:keepNext/>
      <w:keepLines/>
      <w:spacing w:before="220" w:line="240" w:lineRule="auto"/>
      <w:ind w:left="1134" w:hanging="1134"/>
      <w:outlineLvl w:val="3"/>
    </w:pPr>
    <w:rPr>
      <w:rFonts w:ascii="Times New Roman" w:eastAsia="Times New Roman" w:hAnsi="Times New Roman" w:cs="Times New Roman"/>
      <w:b/>
      <w:bCs/>
      <w:kern w:val="28"/>
      <w:sz w:val="26"/>
      <w:szCs w:val="32"/>
      <w:lang w:val="en-AU" w:eastAsia="en-AU"/>
    </w:rPr>
  </w:style>
  <w:style w:type="paragraph" w:customStyle="1" w:styleId="ActHead5">
    <w:name w:val="ActHead 5"/>
    <w:aliases w:val="s"/>
    <w:basedOn w:val="Normal"/>
    <w:next w:val="Normal"/>
    <w:rsid w:val="00272BA4"/>
    <w:pPr>
      <w:keepNext/>
      <w:keepLines/>
      <w:spacing w:before="28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styleId="PageNumber">
    <w:name w:val="page number"/>
    <w:basedOn w:val="DefaultParagraphFont"/>
    <w:rsid w:val="00272BA4"/>
  </w:style>
  <w:style w:type="paragraph" w:styleId="NoSpacing">
    <w:name w:val="No Spacing"/>
    <w:uiPriority w:val="1"/>
    <w:rsid w:val="00272BA4"/>
    <w:pPr>
      <w:spacing w:after="0" w:line="240" w:lineRule="auto"/>
    </w:pPr>
    <w:rPr>
      <w:rFonts w:ascii="Calibri" w:eastAsia="Calibri" w:hAnsi="Calibri" w:cs="Times New Roman"/>
      <w:sz w:val="21"/>
      <w:lang w:val="en-NZ"/>
    </w:rPr>
  </w:style>
  <w:style w:type="paragraph" w:styleId="TOC4">
    <w:name w:val="toc 4"/>
    <w:basedOn w:val="Normal"/>
    <w:next w:val="Normal"/>
    <w:autoRedefine/>
    <w:uiPriority w:val="39"/>
    <w:unhideWhenUsed/>
    <w:rsid w:val="00565FFD"/>
    <w:pPr>
      <w:spacing w:after="60"/>
      <w:ind w:left="658"/>
    </w:pPr>
    <w:rPr>
      <w:rFonts w:ascii="Calibri" w:eastAsia="Times New Roman" w:hAnsi="Calibri" w:cs="Times New Roman"/>
      <w:sz w:val="20"/>
      <w:lang w:val="en-AU" w:eastAsia="en-AU"/>
    </w:rPr>
  </w:style>
  <w:style w:type="paragraph" w:styleId="TOC5">
    <w:name w:val="toc 5"/>
    <w:basedOn w:val="Normal"/>
    <w:next w:val="Normal"/>
    <w:autoRedefine/>
    <w:uiPriority w:val="39"/>
    <w:unhideWhenUsed/>
    <w:rsid w:val="00272BA4"/>
    <w:pPr>
      <w:spacing w:after="100"/>
      <w:ind w:left="880"/>
    </w:pPr>
    <w:rPr>
      <w:rFonts w:ascii="Calibri" w:eastAsia="Times New Roman" w:hAnsi="Calibri" w:cs="Times New Roman"/>
      <w:sz w:val="22"/>
      <w:lang w:val="en-AU" w:eastAsia="en-AU"/>
    </w:rPr>
  </w:style>
  <w:style w:type="paragraph" w:styleId="TOC6">
    <w:name w:val="toc 6"/>
    <w:basedOn w:val="Normal"/>
    <w:next w:val="Normal"/>
    <w:autoRedefine/>
    <w:uiPriority w:val="39"/>
    <w:unhideWhenUsed/>
    <w:rsid w:val="00272BA4"/>
    <w:pPr>
      <w:spacing w:after="100"/>
      <w:ind w:left="1100"/>
    </w:pPr>
    <w:rPr>
      <w:rFonts w:ascii="Calibri" w:eastAsia="Times New Roman" w:hAnsi="Calibri" w:cs="Times New Roman"/>
      <w:sz w:val="22"/>
      <w:lang w:val="en-AU" w:eastAsia="en-AU"/>
    </w:rPr>
  </w:style>
  <w:style w:type="paragraph" w:styleId="TOC7">
    <w:name w:val="toc 7"/>
    <w:basedOn w:val="Normal"/>
    <w:next w:val="Normal"/>
    <w:autoRedefine/>
    <w:uiPriority w:val="39"/>
    <w:unhideWhenUsed/>
    <w:rsid w:val="00272BA4"/>
    <w:pPr>
      <w:spacing w:after="100"/>
      <w:ind w:left="1320"/>
    </w:pPr>
    <w:rPr>
      <w:rFonts w:ascii="Calibri" w:eastAsia="Times New Roman" w:hAnsi="Calibri" w:cs="Times New Roman"/>
      <w:sz w:val="22"/>
      <w:lang w:val="en-AU" w:eastAsia="en-AU"/>
    </w:rPr>
  </w:style>
  <w:style w:type="paragraph" w:styleId="TOC8">
    <w:name w:val="toc 8"/>
    <w:basedOn w:val="Normal"/>
    <w:next w:val="Normal"/>
    <w:autoRedefine/>
    <w:uiPriority w:val="39"/>
    <w:unhideWhenUsed/>
    <w:rsid w:val="00272BA4"/>
    <w:pPr>
      <w:spacing w:after="100"/>
      <w:ind w:left="1540"/>
    </w:pPr>
    <w:rPr>
      <w:rFonts w:ascii="Calibri" w:eastAsia="Times New Roman" w:hAnsi="Calibri" w:cs="Times New Roman"/>
      <w:sz w:val="22"/>
      <w:lang w:val="en-AU" w:eastAsia="en-AU"/>
    </w:rPr>
  </w:style>
  <w:style w:type="paragraph" w:styleId="TOC9">
    <w:name w:val="toc 9"/>
    <w:basedOn w:val="Normal"/>
    <w:next w:val="Normal"/>
    <w:autoRedefine/>
    <w:uiPriority w:val="39"/>
    <w:unhideWhenUsed/>
    <w:rsid w:val="00272BA4"/>
    <w:pPr>
      <w:spacing w:after="100"/>
      <w:ind w:left="1760"/>
    </w:pPr>
    <w:rPr>
      <w:rFonts w:ascii="Calibri" w:eastAsia="Times New Roman" w:hAnsi="Calibri" w:cs="Times New Roman"/>
      <w:sz w:val="22"/>
      <w:lang w:val="en-AU" w:eastAsia="en-AU"/>
    </w:rPr>
  </w:style>
  <w:style w:type="table" w:customStyle="1" w:styleId="LightShading2">
    <w:name w:val="Light Shading2"/>
    <w:basedOn w:val="TableNormal"/>
    <w:uiPriority w:val="60"/>
    <w:rsid w:val="00272BA4"/>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ate">
    <w:name w:val="Date"/>
    <w:basedOn w:val="Normal"/>
    <w:next w:val="Normal"/>
    <w:link w:val="DateChar"/>
    <w:uiPriority w:val="99"/>
    <w:unhideWhenUsed/>
    <w:rsid w:val="00272BA4"/>
    <w:pPr>
      <w:spacing w:line="288" w:lineRule="auto"/>
    </w:pPr>
    <w:rPr>
      <w:rFonts w:ascii="Calibri" w:eastAsia="Calibri" w:hAnsi="Calibri" w:cs="Times New Roman"/>
      <w:sz w:val="22"/>
      <w:lang w:val="en-AU"/>
    </w:rPr>
  </w:style>
  <w:style w:type="character" w:customStyle="1" w:styleId="DateChar">
    <w:name w:val="Date Char"/>
    <w:basedOn w:val="DefaultParagraphFont"/>
    <w:link w:val="Date"/>
    <w:uiPriority w:val="99"/>
    <w:rsid w:val="00272BA4"/>
    <w:rPr>
      <w:rFonts w:ascii="Calibri" w:eastAsia="Calibri" w:hAnsi="Calibri" w:cs="Times New Roman"/>
    </w:rPr>
  </w:style>
  <w:style w:type="paragraph" w:customStyle="1" w:styleId="issuetext">
    <w:name w:val="issue text"/>
    <w:basedOn w:val="Normal"/>
    <w:link w:val="issuetextChar"/>
    <w:autoRedefine/>
    <w:rsid w:val="00272BA4"/>
    <w:pPr>
      <w:tabs>
        <w:tab w:val="left" w:pos="0"/>
      </w:tabs>
      <w:spacing w:before="180" w:line="280" w:lineRule="exact"/>
    </w:pPr>
    <w:rPr>
      <w:rFonts w:ascii="Arial" w:eastAsia="Times New Roman" w:hAnsi="Arial" w:cs="Arial"/>
      <w:bCs/>
      <w:sz w:val="20"/>
      <w:szCs w:val="20"/>
      <w:lang w:val="en-AU" w:eastAsia="en-AU"/>
    </w:rPr>
  </w:style>
  <w:style w:type="character" w:customStyle="1" w:styleId="issuetextChar">
    <w:name w:val="issue text Char"/>
    <w:basedOn w:val="DefaultParagraphFont"/>
    <w:link w:val="issuetext"/>
    <w:rsid w:val="00272BA4"/>
    <w:rPr>
      <w:rFonts w:ascii="Arial" w:eastAsia="Times New Roman" w:hAnsi="Arial" w:cs="Arial"/>
      <w:bCs/>
      <w:sz w:val="20"/>
      <w:szCs w:val="20"/>
      <w:lang w:eastAsia="en-AU"/>
    </w:rPr>
  </w:style>
  <w:style w:type="table" w:customStyle="1" w:styleId="LightShading3">
    <w:name w:val="Light Shading3"/>
    <w:basedOn w:val="TableNormal"/>
    <w:uiPriority w:val="60"/>
    <w:rsid w:val="00272BA4"/>
    <w:pPr>
      <w:spacing w:after="0" w:line="240" w:lineRule="auto"/>
    </w:pPr>
    <w:rPr>
      <w:rFonts w:ascii="Calibri" w:eastAsia="Calibri" w:hAnsi="Calibri" w:cs="Times New Roman"/>
      <w:color w:val="000000" w:themeColor="text1" w:themeShade="BF"/>
      <w:sz w:val="19"/>
      <w:szCs w:val="20"/>
      <w:lang w:val="en-US"/>
    </w:rPr>
    <w:tblPr>
      <w:tblStyleRowBandSize w:val="1"/>
      <w:tblStyleColBandSize w:val="1"/>
      <w:tblBorders>
        <w:top w:val="single" w:sz="8" w:space="0" w:color="000000" w:themeColor="text1"/>
        <w:bottom w:val="single" w:sz="8" w:space="0" w:color="000000" w:themeColor="text1"/>
        <w:insideH w:val="dotted" w:sz="4" w:space="0" w:color="7F7F7F" w:themeColor="text1" w:themeTint="80"/>
        <w:insideV w:val="dotted" w:sz="4" w:space="0" w:color="7F7F7F" w:themeColor="text1" w:themeTint="80"/>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F2F2F2" w:themeFill="background1" w:themeFillShade="F2"/>
      </w:tcPr>
    </w:tblStylePr>
  </w:style>
  <w:style w:type="paragraph" w:customStyle="1" w:styleId="Bullet">
    <w:name w:val="Bullet"/>
    <w:basedOn w:val="Normal"/>
    <w:link w:val="BulletChar"/>
    <w:uiPriority w:val="99"/>
    <w:rsid w:val="00272BA4"/>
    <w:pPr>
      <w:numPr>
        <w:numId w:val="2"/>
      </w:numPr>
      <w:spacing w:after="240" w:line="280" w:lineRule="exact"/>
      <w:jc w:val="both"/>
    </w:pPr>
    <w:rPr>
      <w:rFonts w:ascii="Calibri" w:eastAsia="Times New Roman" w:hAnsi="Calibri" w:cs="Times New Roman"/>
      <w:color w:val="000000"/>
      <w:sz w:val="22"/>
      <w:szCs w:val="20"/>
      <w:lang w:val="en-AU" w:eastAsia="en-AU"/>
    </w:rPr>
  </w:style>
  <w:style w:type="character" w:customStyle="1" w:styleId="BulletChar">
    <w:name w:val="Bullet Char"/>
    <w:basedOn w:val="DefaultParagraphFont"/>
    <w:link w:val="Bullet"/>
    <w:uiPriority w:val="99"/>
    <w:locked/>
    <w:rsid w:val="00272BA4"/>
    <w:rPr>
      <w:rFonts w:ascii="Calibri" w:eastAsia="Times New Roman" w:hAnsi="Calibri" w:cs="Times New Roman"/>
      <w:color w:val="000000"/>
      <w:szCs w:val="20"/>
      <w:lang w:eastAsia="en-AU"/>
    </w:rPr>
  </w:style>
  <w:style w:type="paragraph" w:customStyle="1" w:styleId="Dash">
    <w:name w:val="Dash"/>
    <w:basedOn w:val="Normal"/>
    <w:uiPriority w:val="99"/>
    <w:rsid w:val="00272BA4"/>
    <w:pPr>
      <w:numPr>
        <w:ilvl w:val="1"/>
        <w:numId w:val="2"/>
      </w:numPr>
      <w:spacing w:after="240" w:line="280" w:lineRule="exact"/>
      <w:jc w:val="both"/>
    </w:pPr>
    <w:rPr>
      <w:rFonts w:ascii="Calibri" w:eastAsia="Times New Roman" w:hAnsi="Calibri" w:cs="Times New Roman"/>
      <w:color w:val="000000"/>
      <w:sz w:val="22"/>
      <w:szCs w:val="20"/>
      <w:lang w:val="en-AU" w:eastAsia="en-AU"/>
    </w:rPr>
  </w:style>
  <w:style w:type="paragraph" w:customStyle="1" w:styleId="DoubleDot">
    <w:name w:val="Double Dot"/>
    <w:basedOn w:val="Normal"/>
    <w:uiPriority w:val="99"/>
    <w:rsid w:val="00272BA4"/>
    <w:pPr>
      <w:tabs>
        <w:tab w:val="num" w:pos="1700"/>
      </w:tabs>
      <w:spacing w:after="240" w:line="280" w:lineRule="exact"/>
      <w:ind w:left="1700" w:hanging="566"/>
      <w:jc w:val="both"/>
    </w:pPr>
    <w:rPr>
      <w:rFonts w:ascii="Calibri" w:eastAsia="Times New Roman" w:hAnsi="Calibri" w:cs="Times New Roman"/>
      <w:color w:val="000000"/>
      <w:sz w:val="22"/>
      <w:szCs w:val="20"/>
      <w:lang w:val="en-AU" w:eastAsia="en-AU"/>
    </w:rPr>
  </w:style>
  <w:style w:type="paragraph" w:customStyle="1" w:styleId="BoxHeading">
    <w:name w:val="Box Heading"/>
    <w:basedOn w:val="Normal"/>
    <w:next w:val="BoxText"/>
    <w:uiPriority w:val="99"/>
    <w:rsid w:val="00272BA4"/>
    <w:pPr>
      <w:keepNext/>
      <w:spacing w:before="240" w:after="120" w:line="240" w:lineRule="auto"/>
    </w:pPr>
    <w:rPr>
      <w:rFonts w:ascii="Calibri" w:eastAsia="Times New Roman" w:hAnsi="Calibri" w:cs="Times New Roman"/>
      <w:b/>
      <w:color w:val="342E82"/>
      <w:sz w:val="22"/>
      <w:szCs w:val="20"/>
      <w:lang w:val="en-AU" w:eastAsia="en-AU"/>
    </w:rPr>
  </w:style>
  <w:style w:type="paragraph" w:customStyle="1" w:styleId="BoxText">
    <w:name w:val="Box Text"/>
    <w:basedOn w:val="Normal"/>
    <w:uiPriority w:val="99"/>
    <w:rsid w:val="00272BA4"/>
    <w:pPr>
      <w:spacing w:after="240" w:line="280" w:lineRule="exact"/>
      <w:jc w:val="both"/>
    </w:pPr>
    <w:rPr>
      <w:rFonts w:ascii="Calibri" w:eastAsia="Times New Roman" w:hAnsi="Calibri" w:cs="Times New Roman"/>
      <w:color w:val="000000"/>
      <w:sz w:val="22"/>
      <w:szCs w:val="20"/>
      <w:lang w:val="en-AU" w:eastAsia="en-AU"/>
    </w:rPr>
  </w:style>
  <w:style w:type="paragraph" w:customStyle="1" w:styleId="BoxBullet">
    <w:name w:val="Box Bullet"/>
    <w:basedOn w:val="Normal"/>
    <w:uiPriority w:val="99"/>
    <w:rsid w:val="00272BA4"/>
    <w:pPr>
      <w:numPr>
        <w:numId w:val="3"/>
      </w:numPr>
      <w:spacing w:after="240" w:line="280" w:lineRule="exact"/>
      <w:jc w:val="both"/>
    </w:pPr>
    <w:rPr>
      <w:rFonts w:ascii="Calibri" w:eastAsia="Times New Roman" w:hAnsi="Calibri" w:cs="Times New Roman"/>
      <w:color w:val="000000"/>
      <w:sz w:val="22"/>
      <w:szCs w:val="20"/>
      <w:lang w:val="en-AU" w:eastAsia="en-AU"/>
    </w:rPr>
  </w:style>
  <w:style w:type="paragraph" w:customStyle="1" w:styleId="BoxDash">
    <w:name w:val="Box Dash"/>
    <w:basedOn w:val="Normal"/>
    <w:uiPriority w:val="99"/>
    <w:rsid w:val="00272BA4"/>
    <w:pPr>
      <w:tabs>
        <w:tab w:val="num" w:pos="1134"/>
      </w:tabs>
      <w:spacing w:after="240" w:line="280" w:lineRule="exact"/>
      <w:ind w:left="1134" w:hanging="568"/>
      <w:jc w:val="both"/>
    </w:pPr>
    <w:rPr>
      <w:rFonts w:ascii="Calibri" w:eastAsia="Times New Roman" w:hAnsi="Calibri" w:cs="Times New Roman"/>
      <w:color w:val="000000"/>
      <w:sz w:val="22"/>
      <w:szCs w:val="20"/>
      <w:lang w:val="en-AU" w:eastAsia="en-AU"/>
    </w:rPr>
  </w:style>
  <w:style w:type="paragraph" w:customStyle="1" w:styleId="BoxDoubleDot">
    <w:name w:val="Box Double Dot"/>
    <w:basedOn w:val="Normal"/>
    <w:uiPriority w:val="99"/>
    <w:rsid w:val="00272BA4"/>
    <w:pPr>
      <w:tabs>
        <w:tab w:val="num" w:pos="1700"/>
      </w:tabs>
      <w:spacing w:after="240" w:line="280" w:lineRule="exact"/>
      <w:ind w:left="1700" w:hanging="566"/>
      <w:jc w:val="both"/>
    </w:pPr>
    <w:rPr>
      <w:rFonts w:ascii="Calibri" w:eastAsia="Times New Roman" w:hAnsi="Calibri" w:cs="Times New Roman"/>
      <w:color w:val="000000"/>
      <w:sz w:val="22"/>
      <w:szCs w:val="20"/>
      <w:lang w:val="en-AU" w:eastAsia="en-AU"/>
    </w:rPr>
  </w:style>
  <w:style w:type="character" w:customStyle="1" w:styleId="apple-converted-space">
    <w:name w:val="apple-converted-space"/>
    <w:basedOn w:val="DefaultParagraphFont"/>
    <w:rsid w:val="00272BA4"/>
  </w:style>
  <w:style w:type="paragraph" w:customStyle="1" w:styleId="acthead50">
    <w:name w:val="acthead5"/>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harsectno0">
    <w:name w:val="charsectno"/>
    <w:basedOn w:val="DefaultParagraphFont"/>
    <w:rsid w:val="00272BA4"/>
  </w:style>
  <w:style w:type="paragraph" w:customStyle="1" w:styleId="notepara">
    <w:name w:val="notepara"/>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sub0">
    <w:name w:val="paragraphsub"/>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notetext0">
    <w:name w:val="notetext"/>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subsectionhead0">
    <w:name w:val="subsectionhead"/>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Level1numbering">
    <w:name w:val="Level 1 numbering"/>
    <w:basedOn w:val="Normal"/>
    <w:uiPriority w:val="99"/>
    <w:rsid w:val="00272BA4"/>
    <w:pPr>
      <w:tabs>
        <w:tab w:val="left" w:pos="1701"/>
        <w:tab w:val="left" w:pos="2552"/>
      </w:tabs>
      <w:spacing w:before="60" w:after="60" w:line="312" w:lineRule="auto"/>
      <w:ind w:left="720" w:hanging="360"/>
    </w:pPr>
    <w:rPr>
      <w:rFonts w:ascii="Arial" w:eastAsia="Times New Roman" w:hAnsi="Arial" w:cs="Arial"/>
      <w:color w:val="000000"/>
      <w:sz w:val="20"/>
      <w:szCs w:val="20"/>
      <w:lang w:val="en-AU"/>
    </w:rPr>
  </w:style>
  <w:style w:type="paragraph" w:styleId="HTMLPreformatted">
    <w:name w:val="HTML Preformatted"/>
    <w:basedOn w:val="Normal"/>
    <w:link w:val="HTMLPreformattedChar"/>
    <w:uiPriority w:val="99"/>
    <w:unhideWhenUsed/>
    <w:rsid w:val="00272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272BA4"/>
    <w:rPr>
      <w:rFonts w:ascii="Courier New" w:eastAsia="Times New Roman" w:hAnsi="Courier New" w:cs="Courier New"/>
      <w:sz w:val="20"/>
      <w:szCs w:val="20"/>
      <w:lang w:eastAsia="en-AU"/>
    </w:rPr>
  </w:style>
  <w:style w:type="paragraph" w:customStyle="1" w:styleId="levela">
    <w:name w:val="levela"/>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level1">
    <w:name w:val="level1"/>
    <w:basedOn w:val="Normal"/>
    <w:rsid w:val="00272BA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heading2anotoc">
    <w:name w:val="heading2anotoc"/>
    <w:basedOn w:val="Normal"/>
    <w:rsid w:val="00272BA4"/>
    <w:pPr>
      <w:spacing w:line="240" w:lineRule="auto"/>
    </w:pPr>
    <w:rPr>
      <w:rFonts w:ascii="Times New Roman" w:eastAsia="Times New Roman" w:hAnsi="Times New Roman" w:cs="Times New Roman"/>
      <w:sz w:val="36"/>
      <w:szCs w:val="36"/>
      <w:lang w:val="en-AU" w:eastAsia="en-AU"/>
    </w:rPr>
  </w:style>
  <w:style w:type="table" w:customStyle="1" w:styleId="KSChecklist">
    <w:name w:val="KS Checklist"/>
    <w:basedOn w:val="TableNormal"/>
    <w:uiPriority w:val="99"/>
    <w:qFormat/>
    <w:rsid w:val="00B672B8"/>
    <w:pPr>
      <w:spacing w:after="0" w:line="240" w:lineRule="auto"/>
    </w:pPr>
    <w:rPr>
      <w:sz w:val="19"/>
    </w:rPr>
    <w:tblPr>
      <w:tblStyleRowBandSize w:val="1"/>
      <w:tblStyleColBandSize w:val="1"/>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Pr>
    <w:tblStylePr w:type="firstRow">
      <w:rPr>
        <w:rFonts w:asciiTheme="minorHAnsi" w:hAnsiTheme="minorHAnsi"/>
        <w:sz w:val="19"/>
      </w:rPr>
      <w:tblPr/>
      <w:tcPr>
        <w:tcBorders>
          <w:top w:val="single" w:sz="4" w:space="0" w:color="auto"/>
          <w:left w:val="dotted" w:sz="4" w:space="0" w:color="595959" w:themeColor="text1" w:themeTint="A6"/>
          <w:bottom w:val="single" w:sz="4" w:space="0" w:color="auto"/>
          <w:right w:val="dotted" w:sz="4" w:space="0" w:color="595959" w:themeColor="text1" w:themeTint="A6"/>
          <w:insideH w:val="dotted" w:sz="4" w:space="0" w:color="595959" w:themeColor="text1" w:themeTint="A6"/>
          <w:insideV w:val="dotted" w:sz="4" w:space="0" w:color="595959" w:themeColor="text1" w:themeTint="A6"/>
        </w:tcBorders>
        <w:shd w:val="clear" w:color="auto" w:fill="FFFFFF" w:themeFill="background1"/>
      </w:tcPr>
    </w:tblStylePr>
    <w:tblStylePr w:type="lastRow">
      <w:rPr>
        <w:rFonts w:asciiTheme="minorHAnsi" w:hAnsiTheme="minorHAnsi"/>
        <w:sz w:val="19"/>
      </w:rPr>
    </w:tblStylePr>
    <w:tblStylePr w:type="firstCol">
      <w:rPr>
        <w:rFonts w:asciiTheme="minorHAnsi" w:hAnsiTheme="minorHAnsi"/>
        <w:sz w:val="19"/>
      </w:rPr>
    </w:tblStylePr>
    <w:tblStylePr w:type="lastCol">
      <w:rPr>
        <w:rFonts w:asciiTheme="minorHAnsi" w:hAnsiTheme="minorHAnsi"/>
        <w:sz w:val="19"/>
      </w:rPr>
    </w:tblStylePr>
    <w:tblStylePr w:type="band1Vert">
      <w:rPr>
        <w:rFonts w:asciiTheme="minorHAnsi" w:hAnsiTheme="minorHAnsi"/>
        <w:sz w:val="19"/>
      </w:rPr>
    </w:tblStylePr>
    <w:tblStylePr w:type="band2Vert">
      <w:rPr>
        <w:rFonts w:asciiTheme="minorHAnsi" w:hAnsiTheme="minorHAnsi"/>
        <w:sz w:val="19"/>
      </w:rPr>
    </w:tblStylePr>
    <w:tblStylePr w:type="band1Horz">
      <w:rPr>
        <w:rFonts w:asciiTheme="minorHAnsi" w:hAnsiTheme="minorHAnsi"/>
        <w:sz w:val="19"/>
      </w:rPr>
      <w:tblPr/>
      <w:tcPr>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cBorders>
        <w:shd w:val="clear" w:color="auto" w:fill="F2F2F2" w:themeFill="background1" w:themeFillShade="F2"/>
      </w:tcPr>
    </w:tblStylePr>
    <w:tblStylePr w:type="band2Horz">
      <w:rPr>
        <w:rFonts w:asciiTheme="minorHAnsi" w:hAnsiTheme="minorHAnsi"/>
        <w:sz w:val="19"/>
      </w:rPr>
      <w:tblPr/>
      <w:tcPr>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cBorders>
      </w:tcPr>
    </w:tblStylePr>
  </w:style>
  <w:style w:type="paragraph" w:customStyle="1" w:styleId="ChecklistNumbering">
    <w:name w:val="Checklist Numbering"/>
    <w:basedOn w:val="ListParagraph"/>
    <w:rsid w:val="00B672B8"/>
    <w:pPr>
      <w:numPr>
        <w:numId w:val="4"/>
      </w:numPr>
      <w:spacing w:line="240" w:lineRule="auto"/>
    </w:pPr>
    <w:rPr>
      <w:rFonts w:ascii="Calibri" w:hAnsi="Calibri"/>
      <w:b/>
      <w:sz w:val="18"/>
      <w:szCs w:val="19"/>
    </w:rPr>
  </w:style>
  <w:style w:type="character" w:customStyle="1" w:styleId="Style2">
    <w:name w:val="Style2"/>
    <w:basedOn w:val="DefaultParagraphFont"/>
    <w:uiPriority w:val="1"/>
    <w:rsid w:val="00B672B8"/>
    <w:rPr>
      <w:rFonts w:asciiTheme="minorHAnsi" w:hAnsiTheme="minorHAnsi"/>
      <w:sz w:val="18"/>
    </w:rPr>
  </w:style>
  <w:style w:type="character" w:customStyle="1" w:styleId="apple-style-span">
    <w:name w:val="apple-style-span"/>
    <w:basedOn w:val="DefaultParagraphFont"/>
    <w:rsid w:val="009D1245"/>
  </w:style>
  <w:style w:type="paragraph" w:customStyle="1" w:styleId="hr">
    <w:name w:val="hr"/>
    <w:basedOn w:val="Normal"/>
    <w:rsid w:val="006B0C3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inition0">
    <w:name w:val="definition"/>
    <w:basedOn w:val="Normal"/>
    <w:rsid w:val="000A770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aption">
    <w:name w:val="caption"/>
    <w:basedOn w:val="Normal"/>
    <w:next w:val="Normal"/>
    <w:uiPriority w:val="99"/>
    <w:unhideWhenUsed/>
    <w:rsid w:val="00CB1F1D"/>
    <w:pPr>
      <w:tabs>
        <w:tab w:val="center" w:pos="4512"/>
      </w:tabs>
      <w:suppressAutoHyphens/>
      <w:spacing w:line="360" w:lineRule="auto"/>
      <w:jc w:val="center"/>
    </w:pPr>
    <w:rPr>
      <w:rFonts w:ascii="Times New Roman" w:eastAsia="Times New Roman" w:hAnsi="Times New Roman" w:cs="Times New Roman"/>
      <w:b/>
      <w:bCs/>
      <w:spacing w:val="-3"/>
      <w:sz w:val="24"/>
      <w:szCs w:val="24"/>
      <w:lang w:val="en-AU"/>
    </w:rPr>
  </w:style>
  <w:style w:type="paragraph" w:customStyle="1" w:styleId="P1">
    <w:name w:val="P1"/>
    <w:aliases w:val="(a)"/>
    <w:basedOn w:val="Normal"/>
    <w:uiPriority w:val="99"/>
    <w:rsid w:val="00CB1F1D"/>
    <w:pPr>
      <w:keepLines/>
      <w:tabs>
        <w:tab w:val="right" w:pos="1191"/>
      </w:tabs>
      <w:spacing w:before="60" w:line="260" w:lineRule="exact"/>
      <w:ind w:left="1418" w:hanging="1418"/>
      <w:jc w:val="both"/>
    </w:pPr>
    <w:rPr>
      <w:rFonts w:ascii="Times New Roman" w:eastAsia="Times New Roman" w:hAnsi="Times New Roman" w:cs="Times New Roman"/>
      <w:sz w:val="24"/>
      <w:szCs w:val="24"/>
      <w:lang w:val="en-AU"/>
    </w:rPr>
  </w:style>
  <w:style w:type="table" w:customStyle="1" w:styleId="LightShading4">
    <w:name w:val="Light Shading4"/>
    <w:basedOn w:val="TableNormal"/>
    <w:uiPriority w:val="60"/>
    <w:rsid w:val="00956F5A"/>
    <w:pPr>
      <w:spacing w:after="0" w:line="240" w:lineRule="auto"/>
    </w:pPr>
    <w:rPr>
      <w:color w:val="000000" w:themeColor="text1" w:themeShade="BF"/>
    </w:rPr>
    <w:tblPr>
      <w:tblStyleRowBandSize w:val="1"/>
      <w:tblStyleColBandSize w:val="1"/>
      <w:tblBorders>
        <w:insideH w:val="dotted" w:sz="4" w:space="0" w:color="808080" w:themeColor="background1" w:themeShade="80"/>
        <w:insideV w:val="dotted" w:sz="4" w:space="0" w:color="808080" w:themeColor="background1" w:themeShade="80"/>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style>
  <w:style w:type="paragraph" w:customStyle="1" w:styleId="heading3anotoc">
    <w:name w:val="heading3anotoc"/>
    <w:basedOn w:val="Normal"/>
    <w:rsid w:val="005C4C91"/>
    <w:pPr>
      <w:spacing w:line="240" w:lineRule="auto"/>
    </w:pPr>
    <w:rPr>
      <w:rFonts w:ascii="Times New Roman" w:eastAsia="Times New Roman" w:hAnsi="Times New Roman" w:cs="Times New Roman"/>
      <w:b/>
      <w:bCs/>
      <w:sz w:val="32"/>
      <w:szCs w:val="32"/>
      <w:lang w:val="en-US"/>
    </w:rPr>
  </w:style>
  <w:style w:type="table" w:customStyle="1" w:styleId="LightShading5">
    <w:name w:val="Light Shading5"/>
    <w:basedOn w:val="TableNormal"/>
    <w:uiPriority w:val="60"/>
    <w:rsid w:val="005D69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rsid w:val="00FF0721"/>
    <w:rPr>
      <w:rFonts w:asciiTheme="majorHAnsi" w:eastAsiaTheme="majorEastAsia" w:hAnsiTheme="majorHAnsi" w:cstheme="majorBidi"/>
      <w:i/>
      <w:iCs/>
      <w:color w:val="243F60" w:themeColor="accent1" w:themeShade="7F"/>
      <w:lang w:val="en-NZ"/>
    </w:rPr>
  </w:style>
  <w:style w:type="character" w:customStyle="1" w:styleId="referencingstyle">
    <w:name w:val="referencingstyle"/>
    <w:basedOn w:val="DefaultParagraphFont"/>
    <w:rsid w:val="00FF0721"/>
  </w:style>
  <w:style w:type="paragraph" w:customStyle="1" w:styleId="ChapterHeading">
    <w:name w:val="Chapter Heading"/>
    <w:next w:val="Heading2"/>
    <w:rsid w:val="00CF060B"/>
    <w:pPr>
      <w:pBdr>
        <w:top w:val="single" w:sz="4" w:space="1" w:color="auto"/>
        <w:bottom w:val="single" w:sz="4" w:space="1" w:color="auto"/>
      </w:pBdr>
      <w:spacing w:before="240" w:after="0" w:line="260" w:lineRule="atLeast"/>
    </w:pPr>
    <w:rPr>
      <w:rFonts w:ascii="Helvetica" w:eastAsia="Times New Roman" w:hAnsi="Helvetica" w:cs="Times New Roman"/>
      <w:b/>
      <w:i/>
      <w:sz w:val="38"/>
      <w:szCs w:val="20"/>
      <w:lang w:eastAsia="en-AU"/>
    </w:rPr>
  </w:style>
  <w:style w:type="paragraph" w:customStyle="1" w:styleId="TableHeadingoutsidetable">
    <w:name w:val="Table Heading (outside table)"/>
    <w:basedOn w:val="Heading4"/>
    <w:rsid w:val="00CF060B"/>
    <w:pPr>
      <w:keepLines w:val="0"/>
      <w:spacing w:before="120" w:after="120"/>
      <w:ind w:left="1134"/>
    </w:pPr>
    <w:rPr>
      <w:rFonts w:ascii="Times New Roman" w:eastAsia="Times New Roman" w:hAnsi="Times New Roman" w:cs="Times New Roman"/>
      <w:bCs w:val="0"/>
      <w:i w:val="0"/>
      <w:iCs w:val="0"/>
      <w:sz w:val="22"/>
      <w:szCs w:val="20"/>
      <w:lang w:val="en-AU" w:eastAsia="en-AU"/>
    </w:rPr>
  </w:style>
  <w:style w:type="paragraph" w:customStyle="1" w:styleId="Diagram">
    <w:name w:val="Diagram"/>
    <w:basedOn w:val="Normal"/>
    <w:next w:val="Normal"/>
    <w:rsid w:val="00CF060B"/>
    <w:pPr>
      <w:keepNext/>
      <w:spacing w:line="240" w:lineRule="auto"/>
    </w:pPr>
    <w:rPr>
      <w:rFonts w:ascii="Times New Roman" w:eastAsia="Times New Roman" w:hAnsi="Times New Roman" w:cs="Times New Roman"/>
      <w:b/>
      <w:sz w:val="22"/>
      <w:szCs w:val="20"/>
      <w:lang w:val="en-AU" w:eastAsia="en-AU"/>
    </w:rPr>
  </w:style>
  <w:style w:type="numbering" w:customStyle="1" w:styleId="ChapterList">
    <w:name w:val="ChapterList"/>
    <w:uiPriority w:val="99"/>
    <w:rsid w:val="00CF060B"/>
    <w:pPr>
      <w:numPr>
        <w:numId w:val="5"/>
      </w:numPr>
    </w:pPr>
  </w:style>
  <w:style w:type="character" w:styleId="FollowedHyperlink">
    <w:name w:val="FollowedHyperlink"/>
    <w:basedOn w:val="DefaultParagraphFont"/>
    <w:uiPriority w:val="99"/>
    <w:semiHidden/>
    <w:unhideWhenUsed/>
    <w:rsid w:val="00CB54A5"/>
    <w:rPr>
      <w:color w:val="800080" w:themeColor="followedHyperlink"/>
      <w:u w:val="single"/>
    </w:rPr>
  </w:style>
  <w:style w:type="character" w:customStyle="1" w:styleId="time-mmyy1">
    <w:name w:val="time-mmyy1"/>
    <w:basedOn w:val="DefaultParagraphFont"/>
    <w:rsid w:val="00557549"/>
    <w:rPr>
      <w:b w:val="0"/>
      <w:bCs w:val="0"/>
      <w:caps/>
      <w:vanish w:val="0"/>
      <w:webHidden w:val="0"/>
      <w:sz w:val="16"/>
      <w:szCs w:val="16"/>
      <w:specVanish w:val="0"/>
    </w:rPr>
  </w:style>
  <w:style w:type="paragraph" w:customStyle="1" w:styleId="dotpoint0">
    <w:name w:val="dotpoint"/>
    <w:basedOn w:val="Normal"/>
    <w:rsid w:val="0055754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otpoint20">
    <w:name w:val="dotpoint2"/>
    <w:basedOn w:val="Normal"/>
    <w:rsid w:val="0055754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summary">
    <w:name w:val="summary"/>
    <w:basedOn w:val="Normal"/>
    <w:rsid w:val="0055754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H1">
    <w:name w:val="H1"/>
    <w:basedOn w:val="Normal"/>
    <w:next w:val="Normal"/>
    <w:uiPriority w:val="99"/>
    <w:rsid w:val="00557549"/>
    <w:pPr>
      <w:keepNext/>
      <w:autoSpaceDE w:val="0"/>
      <w:autoSpaceDN w:val="0"/>
      <w:adjustRightInd w:val="0"/>
      <w:spacing w:before="100" w:after="100" w:line="240" w:lineRule="auto"/>
      <w:outlineLvl w:val="1"/>
    </w:pPr>
    <w:rPr>
      <w:rFonts w:ascii="Times New Roman" w:hAnsi="Times New Roman" w:cs="Times New Roman"/>
      <w:b/>
      <w:bCs/>
      <w:kern w:val="36"/>
      <w:sz w:val="48"/>
      <w:szCs w:val="48"/>
      <w:lang w:val="en-AU"/>
    </w:rPr>
  </w:style>
  <w:style w:type="numbering" w:customStyle="1" w:styleId="Style1">
    <w:name w:val="Style1"/>
    <w:uiPriority w:val="99"/>
    <w:rsid w:val="00B311F1"/>
    <w:pPr>
      <w:numPr>
        <w:numId w:val="6"/>
      </w:numPr>
    </w:pPr>
  </w:style>
  <w:style w:type="character" w:customStyle="1" w:styleId="external">
    <w:name w:val="external"/>
    <w:basedOn w:val="DefaultParagraphFont"/>
    <w:rsid w:val="00B311F1"/>
  </w:style>
  <w:style w:type="character" w:customStyle="1" w:styleId="resizable-content">
    <w:name w:val="resizable-content"/>
    <w:rsid w:val="00B311F1"/>
  </w:style>
  <w:style w:type="paragraph" w:customStyle="1" w:styleId="exampletext0">
    <w:name w:val="exampletext"/>
    <w:basedOn w:val="Normal"/>
    <w:rsid w:val="00B311F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formula0">
    <w:name w:val="formula"/>
    <w:basedOn w:val="Normal"/>
    <w:rsid w:val="00B311F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Boxed">
    <w:name w:val="Boxed"/>
    <w:basedOn w:val="Normal"/>
    <w:link w:val="BoxedChar"/>
    <w:qFormat/>
    <w:rsid w:val="00D12660"/>
    <w:pPr>
      <w:spacing w:line="288" w:lineRule="auto"/>
    </w:pPr>
    <w:rPr>
      <w:rFonts w:eastAsia="Times New Roman" w:cs="Times New Roman"/>
      <w:sz w:val="20"/>
      <w:szCs w:val="18"/>
      <w:lang w:val="en-GB"/>
    </w:rPr>
  </w:style>
  <w:style w:type="character" w:customStyle="1" w:styleId="BoxedChar">
    <w:name w:val="Boxed Char"/>
    <w:basedOn w:val="DefaultParagraphFont"/>
    <w:link w:val="Boxed"/>
    <w:rsid w:val="00D12660"/>
    <w:rPr>
      <w:rFonts w:eastAsia="Times New Roman" w:cs="Times New Roman"/>
      <w:sz w:val="20"/>
      <w:szCs w:val="18"/>
      <w:lang w:val="en-GB"/>
    </w:rPr>
  </w:style>
  <w:style w:type="paragraph" w:customStyle="1" w:styleId="Body1">
    <w:name w:val="Body 1"/>
    <w:rsid w:val="002415C6"/>
    <w:pPr>
      <w:spacing w:after="0" w:line="240" w:lineRule="auto"/>
    </w:pPr>
    <w:rPr>
      <w:rFonts w:ascii="Helvetica" w:eastAsia="Arial Unicode MS" w:hAnsi="Helvetica" w:cs="Times New Roman"/>
      <w:color w:val="000000"/>
      <w:sz w:val="24"/>
      <w:szCs w:val="20"/>
      <w:lang w:eastAsia="en-AU"/>
    </w:rPr>
  </w:style>
  <w:style w:type="table" w:styleId="MediumShading2-Accent3">
    <w:name w:val="Medium Shading 2 Accent 3"/>
    <w:basedOn w:val="TableNormal"/>
    <w:uiPriority w:val="64"/>
    <w:rsid w:val="0020010D"/>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googqs-tidbit1">
    <w:name w:val="goog_qs-tidbit1"/>
    <w:rsid w:val="00F04042"/>
    <w:rPr>
      <w:vanish w:val="0"/>
      <w:webHidden w:val="0"/>
      <w:specVanish w:val="0"/>
    </w:rPr>
  </w:style>
  <w:style w:type="character" w:styleId="CommentReference">
    <w:name w:val="annotation reference"/>
    <w:uiPriority w:val="99"/>
    <w:semiHidden/>
    <w:unhideWhenUsed/>
    <w:rsid w:val="007025FE"/>
    <w:rPr>
      <w:sz w:val="16"/>
      <w:szCs w:val="16"/>
    </w:rPr>
  </w:style>
  <w:style w:type="paragraph" w:styleId="CommentText">
    <w:name w:val="annotation text"/>
    <w:basedOn w:val="Normal"/>
    <w:link w:val="CommentTextChar"/>
    <w:uiPriority w:val="99"/>
    <w:semiHidden/>
    <w:unhideWhenUsed/>
    <w:rsid w:val="007025FE"/>
    <w:pPr>
      <w:spacing w:line="240" w:lineRule="auto"/>
    </w:pPr>
    <w:rPr>
      <w:rFonts w:ascii="Calibri" w:eastAsia="Calibri" w:hAnsi="Calibri" w:cs="Times New Roman"/>
      <w:sz w:val="20"/>
      <w:szCs w:val="20"/>
      <w:lang w:val="en-AU"/>
    </w:rPr>
  </w:style>
  <w:style w:type="character" w:customStyle="1" w:styleId="CommentTextChar">
    <w:name w:val="Comment Text Char"/>
    <w:basedOn w:val="DefaultParagraphFont"/>
    <w:link w:val="CommentText"/>
    <w:uiPriority w:val="99"/>
    <w:semiHidden/>
    <w:rsid w:val="007025FE"/>
    <w:rPr>
      <w:rFonts w:ascii="Calibri" w:eastAsia="Calibri" w:hAnsi="Calibri" w:cs="Times New Roman"/>
      <w:sz w:val="20"/>
      <w:szCs w:val="20"/>
    </w:rPr>
  </w:style>
  <w:style w:type="paragraph" w:customStyle="1" w:styleId="Bulletparagraphs">
    <w:name w:val="Bullet paragraphs"/>
    <w:basedOn w:val="Normal"/>
    <w:link w:val="BulletparagraphsChar"/>
    <w:rsid w:val="007025FE"/>
    <w:pPr>
      <w:numPr>
        <w:numId w:val="7"/>
      </w:numPr>
      <w:tabs>
        <w:tab w:val="clear" w:pos="850"/>
      </w:tabs>
      <w:autoSpaceDE w:val="0"/>
      <w:autoSpaceDN w:val="0"/>
      <w:adjustRightInd w:val="0"/>
      <w:spacing w:line="260" w:lineRule="atLeast"/>
      <w:ind w:left="708" w:hanging="459"/>
    </w:pPr>
    <w:rPr>
      <w:rFonts w:ascii="Arial" w:eastAsia="MS Mincho" w:hAnsi="Arial" w:cs="Arial"/>
      <w:sz w:val="20"/>
      <w:szCs w:val="24"/>
      <w:lang w:val="en-AU"/>
    </w:rPr>
  </w:style>
  <w:style w:type="character" w:customStyle="1" w:styleId="BulletparagraphsChar">
    <w:name w:val="Bullet paragraphs Char"/>
    <w:link w:val="Bulletparagraphs"/>
    <w:rsid w:val="007025FE"/>
    <w:rPr>
      <w:rFonts w:ascii="Arial" w:eastAsia="MS Mincho" w:hAnsi="Arial" w:cs="Arial"/>
      <w:color w:val="000000" w:themeColor="text1"/>
      <w:sz w:val="20"/>
      <w:szCs w:val="24"/>
    </w:rPr>
  </w:style>
  <w:style w:type="character" w:customStyle="1" w:styleId="linktext">
    <w:name w:val="linktext"/>
    <w:basedOn w:val="DefaultParagraphFont"/>
    <w:rsid w:val="00647915"/>
    <w:rPr>
      <w:vanish/>
      <w:webHidden w:val="0"/>
      <w:specVanish w:val="0"/>
    </w:rPr>
  </w:style>
  <w:style w:type="paragraph" w:customStyle="1" w:styleId="notetopara">
    <w:name w:val="notetopara"/>
    <w:basedOn w:val="Normal"/>
    <w:rsid w:val="0064791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MessageHeaderLabel">
    <w:name w:val="Message Header Label"/>
    <w:rsid w:val="004142E4"/>
    <w:rPr>
      <w:rFonts w:ascii="Arial Black" w:hAnsi="Arial Black"/>
      <w:spacing w:val="-10"/>
      <w:sz w:val="18"/>
    </w:rPr>
  </w:style>
  <w:style w:type="character" w:customStyle="1" w:styleId="Heading7Char">
    <w:name w:val="Heading 7 Char"/>
    <w:basedOn w:val="DefaultParagraphFont"/>
    <w:link w:val="Heading7"/>
    <w:uiPriority w:val="9"/>
    <w:rsid w:val="001F4D72"/>
    <w:rPr>
      <w:rFonts w:asciiTheme="majorHAnsi" w:eastAsiaTheme="majorEastAsia" w:hAnsiTheme="majorHAnsi" w:cstheme="majorBidi"/>
      <w:i/>
      <w:iCs/>
      <w:color w:val="404040" w:themeColor="text1" w:themeTint="BF"/>
      <w:sz w:val="21"/>
      <w:lang w:val="en-NZ"/>
    </w:rPr>
  </w:style>
  <w:style w:type="paragraph" w:customStyle="1" w:styleId="BodyText10">
    <w:name w:val="Body Text1"/>
    <w:basedOn w:val="Normal"/>
    <w:rsid w:val="00F12CAB"/>
    <w:pPr>
      <w:spacing w:line="260" w:lineRule="atLeast"/>
    </w:pPr>
    <w:rPr>
      <w:rFonts w:ascii="Arial" w:eastAsia="MS Mincho" w:hAnsi="Arial" w:cs="Arial"/>
      <w:sz w:val="20"/>
      <w:szCs w:val="24"/>
      <w:lang w:val="en-AU"/>
    </w:rPr>
  </w:style>
  <w:style w:type="paragraph" w:customStyle="1" w:styleId="BasicParagraph">
    <w:name w:val="[Basic Paragraph]"/>
    <w:basedOn w:val="Normal"/>
    <w:uiPriority w:val="99"/>
    <w:rsid w:val="00A367E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table" w:styleId="PlainTable3">
    <w:name w:val="Plain Table 3"/>
    <w:basedOn w:val="TableNormal"/>
    <w:uiPriority w:val="99"/>
    <w:rsid w:val="003648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E203CE"/>
    <w:rPr>
      <w:color w:val="605E5C"/>
      <w:shd w:val="clear" w:color="auto" w:fill="E1DFDD"/>
    </w:rPr>
  </w:style>
  <w:style w:type="paragraph" w:customStyle="1" w:styleId="MediumShading1-Accent31">
    <w:name w:val="Medium Shading 1 - Accent 31"/>
    <w:basedOn w:val="Normal"/>
    <w:next w:val="Normal"/>
    <w:link w:val="MediumShading1-Accent3Char"/>
    <w:uiPriority w:val="29"/>
    <w:rsid w:val="004804C8"/>
    <w:pPr>
      <w:ind w:left="567" w:right="567"/>
    </w:pPr>
    <w:rPr>
      <w:rFonts w:ascii="Calibri" w:eastAsia="Calibri" w:hAnsi="Calibri" w:cs="Times New Roman"/>
      <w:i/>
      <w:iCs/>
      <w:color w:val="000000"/>
      <w:sz w:val="20"/>
      <w:szCs w:val="20"/>
      <w:lang w:eastAsia="x-none"/>
    </w:rPr>
  </w:style>
  <w:style w:type="character" w:customStyle="1" w:styleId="MediumShading1-Accent3Char">
    <w:name w:val="Medium Shading 1 - Accent 3 Char"/>
    <w:link w:val="MediumShading1-Accent31"/>
    <w:uiPriority w:val="29"/>
    <w:rsid w:val="004804C8"/>
    <w:rPr>
      <w:rFonts w:ascii="Calibri" w:eastAsia="Calibri" w:hAnsi="Calibri" w:cs="Times New Roman"/>
      <w:i/>
      <w:iCs/>
      <w:color w:val="000000"/>
      <w:sz w:val="20"/>
      <w:szCs w:val="20"/>
      <w:lang w:val="en-NZ" w:eastAsia="x-none"/>
    </w:rPr>
  </w:style>
  <w:style w:type="paragraph" w:customStyle="1" w:styleId="LightGrid-Accent31">
    <w:name w:val="Light Grid - Accent 31"/>
    <w:basedOn w:val="Normal"/>
    <w:uiPriority w:val="34"/>
    <w:rsid w:val="004804C8"/>
    <w:pPr>
      <w:numPr>
        <w:numId w:val="35"/>
      </w:numPr>
      <w:ind w:left="568" w:hanging="284"/>
      <w:contextualSpacing/>
    </w:pPr>
    <w:rPr>
      <w:rFonts w:ascii="Calibri" w:eastAsia="Calibri" w:hAnsi="Calibri" w:cs="Times New Roman"/>
      <w:sz w:val="20"/>
    </w:rPr>
  </w:style>
  <w:style w:type="character" w:customStyle="1" w:styleId="PlainTable31">
    <w:name w:val="Plain Table 31"/>
    <w:uiPriority w:val="19"/>
    <w:rsid w:val="004804C8"/>
    <w:rPr>
      <w:i/>
      <w:iCs/>
      <w:color w:val="404040"/>
    </w:rPr>
  </w:style>
  <w:style w:type="paragraph" w:customStyle="1" w:styleId="GridTable31">
    <w:name w:val="Grid Table 31"/>
    <w:basedOn w:val="Heading1"/>
    <w:next w:val="Normal"/>
    <w:uiPriority w:val="39"/>
    <w:rsid w:val="004804C8"/>
    <w:pPr>
      <w:spacing w:after="0" w:line="276" w:lineRule="auto"/>
      <w:outlineLvl w:val="9"/>
    </w:pPr>
    <w:rPr>
      <w:rFonts w:ascii="Cambria" w:eastAsia="Times New Roman" w:hAnsi="Cambria" w:cs="Times New Roman"/>
      <w:b/>
      <w:caps/>
      <w:color w:val="365F91"/>
      <w:sz w:val="28"/>
      <w:lang w:val="en-US" w:eastAsia="x-none"/>
    </w:rPr>
  </w:style>
  <w:style w:type="paragraph" w:customStyle="1" w:styleId="MediumGrid21">
    <w:name w:val="Medium Grid 21"/>
    <w:uiPriority w:val="1"/>
    <w:rsid w:val="004804C8"/>
    <w:pPr>
      <w:spacing w:after="0" w:line="240" w:lineRule="auto"/>
    </w:pPr>
    <w:rPr>
      <w:rFonts w:ascii="Calibri" w:eastAsia="Calibri" w:hAnsi="Calibri" w:cs="Times New Roman"/>
      <w:sz w:val="21"/>
      <w:lang w:val="en-NZ"/>
    </w:rPr>
  </w:style>
  <w:style w:type="table" w:styleId="MediumGrid3-Accent1">
    <w:name w:val="Medium Grid 3 Accent 1"/>
    <w:basedOn w:val="TableNormal"/>
    <w:uiPriority w:val="60"/>
    <w:rsid w:val="004804C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oogqs-tidbit">
    <w:name w:val="goog_qs-tidbit"/>
    <w:basedOn w:val="DefaultParagraphFont"/>
    <w:rsid w:val="004804C8"/>
  </w:style>
  <w:style w:type="paragraph" w:customStyle="1" w:styleId="ms-rteelement-p">
    <w:name w:val="ms-rteelement-p"/>
    <w:basedOn w:val="Normal"/>
    <w:rsid w:val="004804C8"/>
    <w:pPr>
      <w:spacing w:line="240" w:lineRule="auto"/>
    </w:pPr>
    <w:rPr>
      <w:rFonts w:ascii="Arial" w:eastAsia="Times New Roman" w:hAnsi="Arial" w:cs="Arial"/>
      <w:color w:val="576170"/>
      <w:sz w:val="20"/>
      <w:szCs w:val="20"/>
      <w:lang w:val="en-AU" w:eastAsia="en-AU"/>
    </w:rPr>
  </w:style>
  <w:style w:type="paragraph" w:customStyle="1" w:styleId="bullet0">
    <w:name w:val="bullet"/>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z-TopofForm">
    <w:name w:val="HTML Top of Form"/>
    <w:basedOn w:val="Normal"/>
    <w:next w:val="Normal"/>
    <w:link w:val="z-TopofFormChar"/>
    <w:hidden/>
    <w:uiPriority w:val="99"/>
    <w:semiHidden/>
    <w:unhideWhenUsed/>
    <w:rsid w:val="004804C8"/>
    <w:pPr>
      <w:pBdr>
        <w:bottom w:val="single" w:sz="6" w:space="1" w:color="auto"/>
      </w:pBdr>
      <w:spacing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semiHidden/>
    <w:rsid w:val="004804C8"/>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4804C8"/>
    <w:pPr>
      <w:pBdr>
        <w:top w:val="single" w:sz="6" w:space="1" w:color="auto"/>
      </w:pBdr>
      <w:spacing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semiHidden/>
    <w:rsid w:val="004804C8"/>
    <w:rPr>
      <w:rFonts w:ascii="Arial" w:eastAsia="Times New Roman" w:hAnsi="Arial" w:cs="Times New Roman"/>
      <w:vanish/>
      <w:sz w:val="16"/>
      <w:szCs w:val="16"/>
      <w:lang w:val="x-none" w:eastAsia="x-none"/>
    </w:rPr>
  </w:style>
  <w:style w:type="paragraph" w:customStyle="1" w:styleId="MediumGrid1-Accent21">
    <w:name w:val="Medium Grid 1 - Accent 21"/>
    <w:basedOn w:val="Normal"/>
    <w:uiPriority w:val="34"/>
    <w:rsid w:val="004804C8"/>
    <w:pPr>
      <w:numPr>
        <w:numId w:val="36"/>
      </w:numPr>
      <w:contextualSpacing/>
    </w:pPr>
    <w:rPr>
      <w:rFonts w:ascii="Calibri" w:eastAsia="Calibri" w:hAnsi="Calibri" w:cs="Times New Roman"/>
      <w:sz w:val="20"/>
      <w:lang w:val="en-AU"/>
    </w:rPr>
  </w:style>
  <w:style w:type="table" w:customStyle="1" w:styleId="TableGrid6">
    <w:name w:val="Table Grid6"/>
    <w:basedOn w:val="TableNormal"/>
    <w:next w:val="TableGrid"/>
    <w:uiPriority w:val="59"/>
    <w:rsid w:val="004804C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pPr>
    </w:tblStylePr>
  </w:style>
  <w:style w:type="paragraph" w:customStyle="1" w:styleId="r2">
    <w:name w:val="r2"/>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10">
    <w:name w:val="p1"/>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2">
    <w:name w:val="p2"/>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3">
    <w:name w:val="p3"/>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r1">
    <w:name w:val="r1"/>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zr2">
    <w:name w:val="zr2"/>
    <w:basedOn w:val="Normal"/>
    <w:rsid w:val="004804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ColorfulList-Accent11">
    <w:name w:val="Colorful List - Accent 11"/>
    <w:basedOn w:val="Normal"/>
    <w:uiPriority w:val="34"/>
    <w:rsid w:val="004804C8"/>
    <w:pPr>
      <w:ind w:left="1440" w:hanging="360"/>
      <w:contextualSpacing/>
    </w:pPr>
    <w:rPr>
      <w:rFonts w:ascii="Calibri" w:eastAsia="Calibri" w:hAnsi="Calibri" w:cs="Times New Roman"/>
      <w:sz w:val="20"/>
    </w:rPr>
  </w:style>
  <w:style w:type="table" w:customStyle="1" w:styleId="MediumList11">
    <w:name w:val="Medium List 11"/>
    <w:basedOn w:val="TableNormal"/>
    <w:uiPriority w:val="65"/>
    <w:rsid w:val="004804C8"/>
    <w:pPr>
      <w:spacing w:after="0" w:line="240" w:lineRule="auto"/>
    </w:pPr>
    <w:rPr>
      <w:rFonts w:ascii="Calibri" w:eastAsia="Calibri" w:hAnsi="Calibri" w:cs="Times New Roman"/>
      <w:color w:val="000000"/>
      <w:sz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F2F2F2"/>
      </w:tcPr>
    </w:tblStylePr>
  </w:style>
  <w:style w:type="table" w:customStyle="1" w:styleId="ListTable5Dark-Accent11">
    <w:name w:val="List Table 5 Dark - Accent 11"/>
    <w:basedOn w:val="TableNormal"/>
    <w:uiPriority w:val="50"/>
    <w:rsid w:val="004804C8"/>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Sworkbooktable">
    <w:name w:val="KS workbook table"/>
    <w:basedOn w:val="TableNormal"/>
    <w:uiPriority w:val="60"/>
    <w:rsid w:val="00D12660"/>
    <w:pPr>
      <w:spacing w:after="0" w:line="288" w:lineRule="auto"/>
    </w:pPr>
    <w:rPr>
      <w:color w:val="000000" w:themeColor="text1" w:themeShade="BF"/>
      <w:sz w:val="19"/>
    </w:rPr>
    <w:tblPr>
      <w:tblStyleRowBandSize w:val="1"/>
      <w:tblStyleColBandSize w:val="1"/>
      <w:tblBorders>
        <w:top w:val="single" w:sz="8" w:space="0" w:color="000000" w:themeColor="text1"/>
        <w:insideH w:val="dotted" w:sz="4" w:space="0" w:color="A6A6A6" w:themeColor="background1" w:themeShade="A6"/>
        <w:insideV w:val="dotted" w:sz="4" w:space="0" w:color="A6A6A6" w:themeColor="background1" w:themeShade="A6"/>
      </w:tblBorders>
    </w:tblPr>
    <w:tblStylePr w:type="firstRow">
      <w:pPr>
        <w:spacing w:before="0" w:after="0" w:line="240" w:lineRule="auto"/>
      </w:pPr>
      <w:rPr>
        <w:rFonts w:asciiTheme="minorHAnsi" w:hAnsiTheme="minorHAnsi"/>
        <w:b/>
        <w:bCs/>
        <w:i w:val="0"/>
        <w:color w:val="auto"/>
        <w:sz w:val="20"/>
      </w:rPr>
      <w:tblPr/>
      <w:tcPr>
        <w:tc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rPr>
        <w:rFonts w:ascii="Univers (W1)" w:hAnsi="Univers (W1)"/>
        <w:b w:val="0"/>
        <w:i w:val="0"/>
        <w:sz w:val="19"/>
      </w:rPr>
      <w:tblPr/>
      <w:tcPr>
        <w:shd w:val="clear" w:color="auto" w:fill="F2F2F2" w:themeFill="background1" w:themeFillShade="F2"/>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customStyle="1" w:styleId="UnresolvedMention1">
    <w:name w:val="Unresolved Mention1"/>
    <w:basedOn w:val="DefaultParagraphFont"/>
    <w:uiPriority w:val="99"/>
    <w:semiHidden/>
    <w:unhideWhenUsed/>
    <w:rsid w:val="004804C8"/>
    <w:rPr>
      <w:color w:val="808080"/>
      <w:shd w:val="clear" w:color="auto" w:fill="E6E6E6"/>
    </w:rPr>
  </w:style>
  <w:style w:type="character" w:customStyle="1" w:styleId="UnresolvedMention2">
    <w:name w:val="Unresolved Mention2"/>
    <w:basedOn w:val="DefaultParagraphFont"/>
    <w:uiPriority w:val="99"/>
    <w:rsid w:val="004804C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804C8"/>
    <w:rPr>
      <w:b/>
      <w:bCs/>
      <w:lang w:val="en-NZ"/>
    </w:rPr>
  </w:style>
  <w:style w:type="character" w:customStyle="1" w:styleId="CommentSubjectChar">
    <w:name w:val="Comment Subject Char"/>
    <w:basedOn w:val="CommentTextChar"/>
    <w:link w:val="CommentSubject"/>
    <w:uiPriority w:val="99"/>
    <w:semiHidden/>
    <w:rsid w:val="004804C8"/>
    <w:rPr>
      <w:rFonts w:ascii="Calibri" w:eastAsia="Calibri" w:hAnsi="Calibri" w:cs="Times New Roman"/>
      <w:b/>
      <w:bCs/>
      <w:sz w:val="20"/>
      <w:szCs w:val="20"/>
      <w:lang w:val="en-NZ"/>
    </w:rPr>
  </w:style>
  <w:style w:type="table" w:styleId="PlainTable1">
    <w:name w:val="Plain Table 1"/>
    <w:basedOn w:val="TableNormal"/>
    <w:uiPriority w:val="99"/>
    <w:rsid w:val="00EB0CC2"/>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E7F6F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069">
      <w:bodyDiv w:val="1"/>
      <w:marLeft w:val="0"/>
      <w:marRight w:val="0"/>
      <w:marTop w:val="0"/>
      <w:marBottom w:val="0"/>
      <w:divBdr>
        <w:top w:val="none" w:sz="0" w:space="0" w:color="auto"/>
        <w:left w:val="none" w:sz="0" w:space="0" w:color="auto"/>
        <w:bottom w:val="none" w:sz="0" w:space="0" w:color="auto"/>
        <w:right w:val="none" w:sz="0" w:space="0" w:color="auto"/>
      </w:divBdr>
    </w:div>
    <w:div w:id="161971936">
      <w:bodyDiv w:val="1"/>
      <w:marLeft w:val="0"/>
      <w:marRight w:val="0"/>
      <w:marTop w:val="0"/>
      <w:marBottom w:val="0"/>
      <w:divBdr>
        <w:top w:val="none" w:sz="0" w:space="0" w:color="auto"/>
        <w:left w:val="none" w:sz="0" w:space="0" w:color="auto"/>
        <w:bottom w:val="none" w:sz="0" w:space="0" w:color="auto"/>
        <w:right w:val="none" w:sz="0" w:space="0" w:color="auto"/>
      </w:divBdr>
    </w:div>
    <w:div w:id="232815842">
      <w:bodyDiv w:val="1"/>
      <w:marLeft w:val="0"/>
      <w:marRight w:val="0"/>
      <w:marTop w:val="0"/>
      <w:marBottom w:val="0"/>
      <w:divBdr>
        <w:top w:val="none" w:sz="0" w:space="0" w:color="auto"/>
        <w:left w:val="none" w:sz="0" w:space="0" w:color="auto"/>
        <w:bottom w:val="none" w:sz="0" w:space="0" w:color="auto"/>
        <w:right w:val="none" w:sz="0" w:space="0" w:color="auto"/>
      </w:divBdr>
    </w:div>
    <w:div w:id="278031949">
      <w:bodyDiv w:val="1"/>
      <w:marLeft w:val="0"/>
      <w:marRight w:val="0"/>
      <w:marTop w:val="0"/>
      <w:marBottom w:val="0"/>
      <w:divBdr>
        <w:top w:val="none" w:sz="0" w:space="0" w:color="auto"/>
        <w:left w:val="none" w:sz="0" w:space="0" w:color="auto"/>
        <w:bottom w:val="none" w:sz="0" w:space="0" w:color="auto"/>
        <w:right w:val="none" w:sz="0" w:space="0" w:color="auto"/>
      </w:divBdr>
    </w:div>
    <w:div w:id="479688784">
      <w:bodyDiv w:val="1"/>
      <w:marLeft w:val="0"/>
      <w:marRight w:val="0"/>
      <w:marTop w:val="0"/>
      <w:marBottom w:val="0"/>
      <w:divBdr>
        <w:top w:val="none" w:sz="0" w:space="0" w:color="auto"/>
        <w:left w:val="none" w:sz="0" w:space="0" w:color="auto"/>
        <w:bottom w:val="none" w:sz="0" w:space="0" w:color="auto"/>
        <w:right w:val="none" w:sz="0" w:space="0" w:color="auto"/>
      </w:divBdr>
    </w:div>
    <w:div w:id="504127213">
      <w:bodyDiv w:val="1"/>
      <w:marLeft w:val="0"/>
      <w:marRight w:val="0"/>
      <w:marTop w:val="0"/>
      <w:marBottom w:val="0"/>
      <w:divBdr>
        <w:top w:val="none" w:sz="0" w:space="0" w:color="auto"/>
        <w:left w:val="none" w:sz="0" w:space="0" w:color="auto"/>
        <w:bottom w:val="none" w:sz="0" w:space="0" w:color="auto"/>
        <w:right w:val="none" w:sz="0" w:space="0" w:color="auto"/>
      </w:divBdr>
    </w:div>
    <w:div w:id="533202292">
      <w:bodyDiv w:val="1"/>
      <w:marLeft w:val="0"/>
      <w:marRight w:val="0"/>
      <w:marTop w:val="0"/>
      <w:marBottom w:val="0"/>
      <w:divBdr>
        <w:top w:val="none" w:sz="0" w:space="0" w:color="auto"/>
        <w:left w:val="none" w:sz="0" w:space="0" w:color="auto"/>
        <w:bottom w:val="none" w:sz="0" w:space="0" w:color="auto"/>
        <w:right w:val="none" w:sz="0" w:space="0" w:color="auto"/>
      </w:divBdr>
    </w:div>
    <w:div w:id="674502403">
      <w:bodyDiv w:val="1"/>
      <w:marLeft w:val="0"/>
      <w:marRight w:val="0"/>
      <w:marTop w:val="0"/>
      <w:marBottom w:val="0"/>
      <w:divBdr>
        <w:top w:val="none" w:sz="0" w:space="0" w:color="auto"/>
        <w:left w:val="none" w:sz="0" w:space="0" w:color="auto"/>
        <w:bottom w:val="none" w:sz="0" w:space="0" w:color="auto"/>
        <w:right w:val="none" w:sz="0" w:space="0" w:color="auto"/>
      </w:divBdr>
    </w:div>
    <w:div w:id="680857588">
      <w:bodyDiv w:val="1"/>
      <w:marLeft w:val="0"/>
      <w:marRight w:val="0"/>
      <w:marTop w:val="0"/>
      <w:marBottom w:val="0"/>
      <w:divBdr>
        <w:top w:val="none" w:sz="0" w:space="0" w:color="auto"/>
        <w:left w:val="none" w:sz="0" w:space="0" w:color="auto"/>
        <w:bottom w:val="none" w:sz="0" w:space="0" w:color="auto"/>
        <w:right w:val="none" w:sz="0" w:space="0" w:color="auto"/>
      </w:divBdr>
    </w:div>
    <w:div w:id="765227363">
      <w:bodyDiv w:val="1"/>
      <w:marLeft w:val="0"/>
      <w:marRight w:val="0"/>
      <w:marTop w:val="0"/>
      <w:marBottom w:val="0"/>
      <w:divBdr>
        <w:top w:val="none" w:sz="0" w:space="0" w:color="auto"/>
        <w:left w:val="none" w:sz="0" w:space="0" w:color="auto"/>
        <w:bottom w:val="none" w:sz="0" w:space="0" w:color="auto"/>
        <w:right w:val="none" w:sz="0" w:space="0" w:color="auto"/>
      </w:divBdr>
    </w:div>
    <w:div w:id="791289396">
      <w:bodyDiv w:val="1"/>
      <w:marLeft w:val="0"/>
      <w:marRight w:val="0"/>
      <w:marTop w:val="0"/>
      <w:marBottom w:val="0"/>
      <w:divBdr>
        <w:top w:val="none" w:sz="0" w:space="0" w:color="auto"/>
        <w:left w:val="none" w:sz="0" w:space="0" w:color="auto"/>
        <w:bottom w:val="none" w:sz="0" w:space="0" w:color="auto"/>
        <w:right w:val="none" w:sz="0" w:space="0" w:color="auto"/>
      </w:divBdr>
    </w:div>
    <w:div w:id="791630108">
      <w:bodyDiv w:val="1"/>
      <w:marLeft w:val="0"/>
      <w:marRight w:val="0"/>
      <w:marTop w:val="0"/>
      <w:marBottom w:val="0"/>
      <w:divBdr>
        <w:top w:val="none" w:sz="0" w:space="0" w:color="auto"/>
        <w:left w:val="none" w:sz="0" w:space="0" w:color="auto"/>
        <w:bottom w:val="none" w:sz="0" w:space="0" w:color="auto"/>
        <w:right w:val="none" w:sz="0" w:space="0" w:color="auto"/>
      </w:divBdr>
    </w:div>
    <w:div w:id="822968227">
      <w:bodyDiv w:val="1"/>
      <w:marLeft w:val="0"/>
      <w:marRight w:val="0"/>
      <w:marTop w:val="0"/>
      <w:marBottom w:val="0"/>
      <w:divBdr>
        <w:top w:val="none" w:sz="0" w:space="0" w:color="auto"/>
        <w:left w:val="none" w:sz="0" w:space="0" w:color="auto"/>
        <w:bottom w:val="none" w:sz="0" w:space="0" w:color="auto"/>
        <w:right w:val="none" w:sz="0" w:space="0" w:color="auto"/>
      </w:divBdr>
    </w:div>
    <w:div w:id="862743879">
      <w:bodyDiv w:val="1"/>
      <w:marLeft w:val="0"/>
      <w:marRight w:val="0"/>
      <w:marTop w:val="0"/>
      <w:marBottom w:val="0"/>
      <w:divBdr>
        <w:top w:val="none" w:sz="0" w:space="0" w:color="auto"/>
        <w:left w:val="none" w:sz="0" w:space="0" w:color="auto"/>
        <w:bottom w:val="none" w:sz="0" w:space="0" w:color="auto"/>
        <w:right w:val="none" w:sz="0" w:space="0" w:color="auto"/>
      </w:divBdr>
    </w:div>
    <w:div w:id="909771233">
      <w:bodyDiv w:val="1"/>
      <w:marLeft w:val="0"/>
      <w:marRight w:val="0"/>
      <w:marTop w:val="0"/>
      <w:marBottom w:val="0"/>
      <w:divBdr>
        <w:top w:val="none" w:sz="0" w:space="0" w:color="auto"/>
        <w:left w:val="none" w:sz="0" w:space="0" w:color="auto"/>
        <w:bottom w:val="none" w:sz="0" w:space="0" w:color="auto"/>
        <w:right w:val="none" w:sz="0" w:space="0" w:color="auto"/>
      </w:divBdr>
    </w:div>
    <w:div w:id="921258407">
      <w:bodyDiv w:val="1"/>
      <w:marLeft w:val="0"/>
      <w:marRight w:val="0"/>
      <w:marTop w:val="0"/>
      <w:marBottom w:val="0"/>
      <w:divBdr>
        <w:top w:val="none" w:sz="0" w:space="0" w:color="auto"/>
        <w:left w:val="none" w:sz="0" w:space="0" w:color="auto"/>
        <w:bottom w:val="none" w:sz="0" w:space="0" w:color="auto"/>
        <w:right w:val="none" w:sz="0" w:space="0" w:color="auto"/>
      </w:divBdr>
    </w:div>
    <w:div w:id="929972820">
      <w:bodyDiv w:val="1"/>
      <w:marLeft w:val="0"/>
      <w:marRight w:val="0"/>
      <w:marTop w:val="0"/>
      <w:marBottom w:val="0"/>
      <w:divBdr>
        <w:top w:val="none" w:sz="0" w:space="0" w:color="auto"/>
        <w:left w:val="none" w:sz="0" w:space="0" w:color="auto"/>
        <w:bottom w:val="none" w:sz="0" w:space="0" w:color="auto"/>
        <w:right w:val="none" w:sz="0" w:space="0" w:color="auto"/>
      </w:divBdr>
    </w:div>
    <w:div w:id="1070929487">
      <w:bodyDiv w:val="1"/>
      <w:marLeft w:val="0"/>
      <w:marRight w:val="0"/>
      <w:marTop w:val="0"/>
      <w:marBottom w:val="0"/>
      <w:divBdr>
        <w:top w:val="none" w:sz="0" w:space="0" w:color="auto"/>
        <w:left w:val="none" w:sz="0" w:space="0" w:color="auto"/>
        <w:bottom w:val="none" w:sz="0" w:space="0" w:color="auto"/>
        <w:right w:val="none" w:sz="0" w:space="0" w:color="auto"/>
      </w:divBdr>
    </w:div>
    <w:div w:id="1308824221">
      <w:bodyDiv w:val="1"/>
      <w:marLeft w:val="0"/>
      <w:marRight w:val="0"/>
      <w:marTop w:val="0"/>
      <w:marBottom w:val="0"/>
      <w:divBdr>
        <w:top w:val="none" w:sz="0" w:space="0" w:color="auto"/>
        <w:left w:val="none" w:sz="0" w:space="0" w:color="auto"/>
        <w:bottom w:val="none" w:sz="0" w:space="0" w:color="auto"/>
        <w:right w:val="none" w:sz="0" w:space="0" w:color="auto"/>
      </w:divBdr>
    </w:div>
    <w:div w:id="1321620736">
      <w:bodyDiv w:val="1"/>
      <w:marLeft w:val="0"/>
      <w:marRight w:val="0"/>
      <w:marTop w:val="0"/>
      <w:marBottom w:val="0"/>
      <w:divBdr>
        <w:top w:val="none" w:sz="0" w:space="0" w:color="auto"/>
        <w:left w:val="none" w:sz="0" w:space="0" w:color="auto"/>
        <w:bottom w:val="none" w:sz="0" w:space="0" w:color="auto"/>
        <w:right w:val="none" w:sz="0" w:space="0" w:color="auto"/>
      </w:divBdr>
    </w:div>
    <w:div w:id="1438015773">
      <w:bodyDiv w:val="1"/>
      <w:marLeft w:val="0"/>
      <w:marRight w:val="0"/>
      <w:marTop w:val="0"/>
      <w:marBottom w:val="0"/>
      <w:divBdr>
        <w:top w:val="none" w:sz="0" w:space="0" w:color="auto"/>
        <w:left w:val="none" w:sz="0" w:space="0" w:color="auto"/>
        <w:bottom w:val="none" w:sz="0" w:space="0" w:color="auto"/>
        <w:right w:val="none" w:sz="0" w:space="0" w:color="auto"/>
      </w:divBdr>
    </w:div>
    <w:div w:id="1481726823">
      <w:bodyDiv w:val="1"/>
      <w:marLeft w:val="0"/>
      <w:marRight w:val="0"/>
      <w:marTop w:val="0"/>
      <w:marBottom w:val="0"/>
      <w:divBdr>
        <w:top w:val="none" w:sz="0" w:space="0" w:color="auto"/>
        <w:left w:val="none" w:sz="0" w:space="0" w:color="auto"/>
        <w:bottom w:val="none" w:sz="0" w:space="0" w:color="auto"/>
        <w:right w:val="none" w:sz="0" w:space="0" w:color="auto"/>
      </w:divBdr>
    </w:div>
    <w:div w:id="1583761860">
      <w:bodyDiv w:val="1"/>
      <w:marLeft w:val="0"/>
      <w:marRight w:val="0"/>
      <w:marTop w:val="0"/>
      <w:marBottom w:val="0"/>
      <w:divBdr>
        <w:top w:val="none" w:sz="0" w:space="0" w:color="auto"/>
        <w:left w:val="none" w:sz="0" w:space="0" w:color="auto"/>
        <w:bottom w:val="none" w:sz="0" w:space="0" w:color="auto"/>
        <w:right w:val="none" w:sz="0" w:space="0" w:color="auto"/>
      </w:divBdr>
    </w:div>
    <w:div w:id="1682272202">
      <w:bodyDiv w:val="1"/>
      <w:marLeft w:val="0"/>
      <w:marRight w:val="0"/>
      <w:marTop w:val="0"/>
      <w:marBottom w:val="0"/>
      <w:divBdr>
        <w:top w:val="none" w:sz="0" w:space="0" w:color="auto"/>
        <w:left w:val="none" w:sz="0" w:space="0" w:color="auto"/>
        <w:bottom w:val="none" w:sz="0" w:space="0" w:color="auto"/>
        <w:right w:val="none" w:sz="0" w:space="0" w:color="auto"/>
      </w:divBdr>
    </w:div>
    <w:div w:id="1916822298">
      <w:bodyDiv w:val="1"/>
      <w:marLeft w:val="0"/>
      <w:marRight w:val="0"/>
      <w:marTop w:val="0"/>
      <w:marBottom w:val="0"/>
      <w:divBdr>
        <w:top w:val="none" w:sz="0" w:space="0" w:color="auto"/>
        <w:left w:val="none" w:sz="0" w:space="0" w:color="auto"/>
        <w:bottom w:val="none" w:sz="0" w:space="0" w:color="auto"/>
        <w:right w:val="none" w:sz="0" w:space="0" w:color="auto"/>
      </w:divBdr>
    </w:div>
    <w:div w:id="2030376809">
      <w:bodyDiv w:val="1"/>
      <w:marLeft w:val="0"/>
      <w:marRight w:val="0"/>
      <w:marTop w:val="0"/>
      <w:marBottom w:val="0"/>
      <w:divBdr>
        <w:top w:val="none" w:sz="0" w:space="0" w:color="auto"/>
        <w:left w:val="none" w:sz="0" w:space="0" w:color="auto"/>
        <w:bottom w:val="none" w:sz="0" w:space="0" w:color="auto"/>
        <w:right w:val="none" w:sz="0" w:space="0" w:color="auto"/>
      </w:divBdr>
    </w:div>
    <w:div w:id="2058043282">
      <w:bodyDiv w:val="1"/>
      <w:marLeft w:val="0"/>
      <w:marRight w:val="0"/>
      <w:marTop w:val="0"/>
      <w:marBottom w:val="0"/>
      <w:divBdr>
        <w:top w:val="none" w:sz="0" w:space="0" w:color="auto"/>
        <w:left w:val="none" w:sz="0" w:space="0" w:color="auto"/>
        <w:bottom w:val="none" w:sz="0" w:space="0" w:color="auto"/>
        <w:right w:val="none" w:sz="0" w:space="0" w:color="auto"/>
      </w:divBdr>
    </w:div>
    <w:div w:id="212981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inisters.treasury.gov.au/ministers/josh-frydenberg-2018/media-releases/helping-additional-10000-first-home-buyers" TargetMode="External"/><Relationship Id="rId26" Type="http://schemas.openxmlformats.org/officeDocument/2006/relationships/hyperlink" Target="https://www.aph.gov.au/Parliamentary_Business/Bills_LEGislation/Bills_Search_Results/Result?bId=r6473" TargetMode="External"/><Relationship Id="rId39" Type="http://schemas.openxmlformats.org/officeDocument/2006/relationships/hyperlink" Target="https://minister.infrastructure.gov.au/mccormack/media-release/regional-tourism-recovery-package-get-visitors-flowing-again" TargetMode="External"/><Relationship Id="rId21" Type="http://schemas.openxmlformats.org/officeDocument/2006/relationships/hyperlink" Target="https://ministers.treasury.gov.au/ministers/josh-frydenberg-2018/media-releases/expanding-access-small-business-tax-concessions" TargetMode="External"/><Relationship Id="rId34" Type="http://schemas.openxmlformats.org/officeDocument/2006/relationships/hyperlink" Target="https://www.ato.gov.au/law/view/document?docid=TXR/TR20185/NAT/ATO/00001" TargetMode="External"/><Relationship Id="rId42" Type="http://schemas.openxmlformats.org/officeDocument/2006/relationships/hyperlink" Target="https://ministers.treasury.gov.au/ministers/josh-frydenberg-2018/media-releases/morrison-government-invests-155-million-transport" TargetMode="External"/><Relationship Id="rId47" Type="http://schemas.openxmlformats.org/officeDocument/2006/relationships/hyperlink" Target="https://ministers.treasury.gov.au/ministers/josh-frydenberg-2018/media-releases/morrison-government-invests-360-million-transport" TargetMode="External"/><Relationship Id="rId50" Type="http://schemas.openxmlformats.org/officeDocument/2006/relationships/hyperlink" Target="https://www.pm.gov.au/media/transforming-australian-manufacturing-rebuild-our-economy"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fic.gov.au/what-we-do/fhlds/" TargetMode="External"/><Relationship Id="rId29" Type="http://schemas.openxmlformats.org/officeDocument/2006/relationships/hyperlink" Target="https://ministers.treasury.gov.au/ministers/josh-frydenberg-2018/media-releases/helping-additional-10000-first-home-buyers" TargetMode="External"/><Relationship Id="rId11" Type="http://schemas.openxmlformats.org/officeDocument/2006/relationships/image" Target="media/image1.png"/><Relationship Id="rId24" Type="http://schemas.openxmlformats.org/officeDocument/2006/relationships/hyperlink" Target="https://www.ato.gov.au/General/New-legislation/In-detail/Direct-taxes/Income-tax-for-businesses/Loss-carry-back/" TargetMode="External"/><Relationship Id="rId32" Type="http://schemas.openxmlformats.org/officeDocument/2006/relationships/hyperlink" Target="https://ministers.treasury.gov.au/ministers/josh-frydenberg-2018/media-releases/helping-additional-10000-first-home-buyers" TargetMode="External"/><Relationship Id="rId37" Type="http://schemas.openxmlformats.org/officeDocument/2006/relationships/hyperlink" Target="https://docs.employment.gov.au/system/files/doc/other/boosting_apprentices_and_trainees_fact_sheet_final.pdf" TargetMode="External"/><Relationship Id="rId40" Type="http://schemas.openxmlformats.org/officeDocument/2006/relationships/hyperlink" Target="https://ministers.treasury.gov.au/ministers/josh-frydenberg-2018/media-releases/boost-skills-training-fringe-benefits-tax-exemption" TargetMode="External"/><Relationship Id="rId45" Type="http://schemas.openxmlformats.org/officeDocument/2006/relationships/hyperlink" Target="https://ministers.treasury.gov.au/ministers/josh-frydenberg-2018/media-releases/morrison-government-invests-13-billion-transport" TargetMode="External"/><Relationship Id="rId53"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inisters.treasury.gov.au/ministers/josh-frydenberg-2018/media-releases/your-future-your-super-making-your-super-work-harder" TargetMode="External"/><Relationship Id="rId31" Type="http://schemas.openxmlformats.org/officeDocument/2006/relationships/hyperlink" Target="https://ministers.treasury.gov.au/ministers/josh-frydenberg-2018/media-releases/boost-skills-training-fringe-benefits-tax-exemption" TargetMode="External"/><Relationship Id="rId44" Type="http://schemas.openxmlformats.org/officeDocument/2006/relationships/hyperlink" Target="https://ministers.treasury.gov.au/ministers/josh-frydenberg-2018/media-releases/budget-infrastructure-investment-supports-economic" TargetMode="External"/><Relationship Id="rId52" Type="http://schemas.openxmlformats.org/officeDocument/2006/relationships/hyperlink" Target="https://www.pm.gov.au/media/1b-accelerate-defence-initiatives-covid-19-recov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inisters.treasury.gov.au/ministers/josh-frydenberg-2018/media-releases/tax-relief-back-hard-working-australians-and-create" TargetMode="External"/><Relationship Id="rId22" Type="http://schemas.openxmlformats.org/officeDocument/2006/relationships/hyperlink" Target="https://www.ato.gov.au/General/New-legislation/In-detail/Direct-taxes/Income-tax-for-businesses/JobMaker-Plan---temporary-full-expensing-to-support-investment-and-jobs/" TargetMode="External"/><Relationship Id="rId27" Type="http://schemas.openxmlformats.org/officeDocument/2006/relationships/hyperlink" Target="https://ministers.treasury.gov.au/ministers/josh-frydenberg-2018/media-releases/expanding-access-small-business-tax-concessions" TargetMode="External"/><Relationship Id="rId30" Type="http://schemas.openxmlformats.org/officeDocument/2006/relationships/hyperlink" Target="https://ministers.treasury.gov.au/ministers/josh-frydenberg-2018/media-releases/helping-additional-10000-first-home-buyers" TargetMode="External"/><Relationship Id="rId35" Type="http://schemas.openxmlformats.org/officeDocument/2006/relationships/hyperlink" Target="https://www.pm.gov.au/media/100000-new-apprenticeship-positions-lead-covid-19-economic-recovery" TargetMode="External"/><Relationship Id="rId43" Type="http://schemas.openxmlformats.org/officeDocument/2006/relationships/hyperlink" Target="https://ministers.treasury.gov.au/ministers/josh-frydenberg-2018/media-releases/morrison-government-invests-27-billion-transport" TargetMode="External"/><Relationship Id="rId48" Type="http://schemas.openxmlformats.org/officeDocument/2006/relationships/hyperlink" Target="https://ministers.treasury.gov.au/ministers/josh-frydenberg-2018/media-releases/morrison-government-invests-11-billion-transporthttps:/ministers.treasury.gov.au/ministers/josh-frydenberg-2018/media-releases/morrison-government-invests-11-billion-transpor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m.gov.au/media/investment-new-energy-technologi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hfic.gov.au/what-we-do/fhlds/how-to-apply/" TargetMode="External"/><Relationship Id="rId25" Type="http://schemas.openxmlformats.org/officeDocument/2006/relationships/hyperlink" Target="https://ministers.treasury.gov.au/ministers/josh-frydenberg-2018/media-releases/helping-additional-10000-first-home-buyers" TargetMode="External"/><Relationship Id="rId33" Type="http://schemas.openxmlformats.org/officeDocument/2006/relationships/hyperlink" Target="http://eresources.hcourt.gov.au/showCase/2016/HCA/45" TargetMode="External"/><Relationship Id="rId38" Type="http://schemas.openxmlformats.org/officeDocument/2006/relationships/hyperlink" Target="https://ministers.treasury.gov.au/ministers/josh-frydenberg-2018/media-releases/boost-skills-training-fringe-benefits-tax-exemption" TargetMode="External"/><Relationship Id="rId46" Type="http://schemas.openxmlformats.org/officeDocument/2006/relationships/hyperlink" Target="https://ministers.treasury.gov.au/ministers/josh-frydenberg-2018/media-releases/morrison-government-invests-625-million-transport" TargetMode="External"/><Relationship Id="rId20" Type="http://schemas.openxmlformats.org/officeDocument/2006/relationships/hyperlink" Target="https://treasury.gov.au/sites/default/files/2020-10/p2020-super_0.pdf" TargetMode="External"/><Relationship Id="rId41" Type="http://schemas.openxmlformats.org/officeDocument/2006/relationships/hyperlink" Target="https://ministers.treasury.gov.au/ministers/josh-frydenberg-2018/media-releases/morrison-government-delivers-75-billion-boost"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nisters.treasury.gov.au/ministers/josh-frydenberg-2018/media-releases/removing-capital-gains-tax-granny-flats" TargetMode="External"/><Relationship Id="rId23" Type="http://schemas.openxmlformats.org/officeDocument/2006/relationships/hyperlink" Target="https://ministers.treasury.gov.au/ministers/josh-frydenberg-2018/media-releases/helping-additional-10000-first-home-buyers" TargetMode="External"/><Relationship Id="rId28" Type="http://schemas.openxmlformats.org/officeDocument/2006/relationships/hyperlink" Target="https://www.ato.gov.au/General/New-legislation/In-detail/Direct-taxes/Income-tax-for-businesses/Increase-the-small-business-entity-turnover-threshold/" TargetMode="External"/><Relationship Id="rId36" Type="http://schemas.openxmlformats.org/officeDocument/2006/relationships/hyperlink" Target="https://www.employment.gov.au/boosting-apprenticeship-commencements" TargetMode="External"/><Relationship Id="rId49" Type="http://schemas.openxmlformats.org/officeDocument/2006/relationships/hyperlink" Target="https://www.pm.gov.au/media/morrison-government-invests-11-billion-transport-infrastructure-boost-wa-economic-recove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Library/Group%20Containers/UBF8T346G9.Office/User%20Content.localized/Templates.localized/Webina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F5E03FD523C47872EDCFED18ADB89" ma:contentTypeVersion="5" ma:contentTypeDescription="Create a new document." ma:contentTypeScope="" ma:versionID="6ad004b8d36e5cfcabe621a163149034">
  <xsd:schema xmlns:xsd="http://www.w3.org/2001/XMLSchema" xmlns:xs="http://www.w3.org/2001/XMLSchema" xmlns:p="http://schemas.microsoft.com/office/2006/metadata/properties" xmlns:ns2="2f2877c6-b1c2-411b-a6fe-5b164fa0f7ca" xmlns:ns3="2a9792d3-d79d-4730-abd3-b59ddb5ad902" targetNamespace="http://schemas.microsoft.com/office/2006/metadata/properties" ma:root="true" ma:fieldsID="f292ee7a84b45df06049427caa94a7b4" ns2:_="" ns3:_="">
    <xsd:import namespace="2f2877c6-b1c2-411b-a6fe-5b164fa0f7ca"/>
    <xsd:import namespace="2a9792d3-d79d-4730-abd3-b59ddb5ad90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77c6-b1c2-411b-a6fe-5b164fa0f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792d3-d79d-4730-abd3-b59ddb5ad90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8DA08-7944-4E15-B947-2771BA244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77c6-b1c2-411b-a6fe-5b164fa0f7ca"/>
    <ds:schemaRef ds:uri="2a9792d3-d79d-4730-abd3-b59ddb5ad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FB3BF9-BC27-2049-8234-C37AAC939F07}">
  <ds:schemaRefs>
    <ds:schemaRef ds:uri="http://schemas.openxmlformats.org/officeDocument/2006/bibliography"/>
  </ds:schemaRefs>
</ds:datastoreItem>
</file>

<file path=customXml/itemProps3.xml><?xml version="1.0" encoding="utf-8"?>
<ds:datastoreItem xmlns:ds="http://schemas.openxmlformats.org/officeDocument/2006/customXml" ds:itemID="{63FE3BE3-36F5-4BC2-8241-D5D968B72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E94A5A-DDFE-4684-815F-1A02860DE0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Webinar Notes Template.dotx</Template>
  <TotalTime>7</TotalTime>
  <Pages>26</Pages>
  <Words>7355</Words>
  <Characters>40371</Characters>
  <Application>Microsoft Office Word</Application>
  <DocSecurity>0</DocSecurity>
  <Lines>969</Lines>
  <Paragraphs>491</Paragraphs>
  <ScaleCrop>false</ScaleCrop>
  <HeadingPairs>
    <vt:vector size="2" baseType="variant">
      <vt:variant>
        <vt:lpstr>Title</vt:lpstr>
      </vt:variant>
      <vt:variant>
        <vt:i4>1</vt:i4>
      </vt:variant>
    </vt:vector>
  </HeadingPairs>
  <TitlesOfParts>
    <vt:vector size="1" baseType="lpstr">
      <vt:lpstr>February March 2018 Knowledge Shop PD</vt:lpstr>
    </vt:vector>
  </TitlesOfParts>
  <Manager/>
  <Company>© Knowledge Shop Pty</Company>
  <LinksUpToDate>false</LinksUpToDate>
  <CharactersWithSpaces>47423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2020-21 Client Guide</dc:title>
  <dc:subject/>
  <dc:creator>Knowldge Shop pty Ltd</dc:creator>
  <cp:keywords/>
  <dc:description>For use by Knowledge Shop members</dc:description>
  <cp:lastModifiedBy>Lisa Armstrong</cp:lastModifiedBy>
  <cp:revision>11</cp:revision>
  <cp:lastPrinted>2018-08-08T02:35:00Z</cp:lastPrinted>
  <dcterms:created xsi:type="dcterms:W3CDTF">2020-10-06T21:51:00Z</dcterms:created>
  <dcterms:modified xsi:type="dcterms:W3CDTF">2020-10-06T22:33:00Z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0x01010073EF5E03FD523C47872EDCFED18ADB89</vt:lpwstr>
  </property>
</Properties>
</file>